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3F3E65" w:rsidRPr="003F3E65" w:rsidRDefault="003F3E65" w:rsidP="003F3E65">
      <w:pPr>
        <w:pStyle w:val="berschrift2"/>
        <w:ind w:right="-2468"/>
        <w:jc w:val="both"/>
        <w:rPr>
          <w:rFonts w:cs="Arial"/>
          <w:b w:val="0"/>
          <w:szCs w:val="32"/>
          <w:lang w:val="en-US"/>
        </w:rPr>
      </w:pPr>
      <w:r w:rsidRPr="003F3E65">
        <w:rPr>
          <w:b w:val="0"/>
          <w:lang w:val="en-US"/>
        </w:rPr>
        <w:t>COMMUNIQUÉ DE PRESSE</w:t>
      </w:r>
    </w:p>
    <w:p w:rsidR="003F3E65" w:rsidRPr="000E69E2" w:rsidRDefault="003F3E65" w:rsidP="003F3E65">
      <w:pPr>
        <w:spacing w:line="360" w:lineRule="auto"/>
        <w:jc w:val="both"/>
        <w:outlineLvl w:val="0"/>
        <w:rPr>
          <w:rFonts w:ascii="Arial" w:hAnsi="Arial" w:cs="Arial"/>
          <w:sz w:val="28"/>
          <w:szCs w:val="28"/>
          <w:lang w:val="fr-CH"/>
        </w:rPr>
      </w:pPr>
    </w:p>
    <w:p w:rsidR="003F3E65" w:rsidRPr="003F3E65" w:rsidRDefault="003F3E65" w:rsidP="003F3E65">
      <w:pPr>
        <w:spacing w:line="360" w:lineRule="auto"/>
        <w:jc w:val="both"/>
        <w:outlineLvl w:val="0"/>
        <w:rPr>
          <w:rFonts w:ascii="Arial" w:eastAsia="Times New Roman" w:hAnsi="Arial"/>
          <w:b/>
          <w:bCs/>
          <w:kern w:val="36"/>
          <w:sz w:val="28"/>
          <w:szCs w:val="28"/>
          <w:lang w:val="en-US"/>
        </w:rPr>
      </w:pPr>
      <w:r w:rsidRPr="003F3E65">
        <w:rPr>
          <w:rFonts w:ascii="Arial" w:hAnsi="Arial"/>
          <w:b/>
          <w:sz w:val="28"/>
          <w:lang w:val="en-US"/>
        </w:rPr>
        <w:t xml:space="preserve">Des phares pour la formation et l’architecture </w:t>
      </w:r>
    </w:p>
    <w:p w:rsidR="003F3E65" w:rsidRPr="003F3E65" w:rsidRDefault="003F3E65" w:rsidP="003F3E65">
      <w:pPr>
        <w:spacing w:line="360" w:lineRule="auto"/>
        <w:jc w:val="both"/>
        <w:outlineLvl w:val="0"/>
        <w:rPr>
          <w:rFonts w:ascii="Arial" w:eastAsia="Times New Roman" w:hAnsi="Arial"/>
          <w:b/>
          <w:bCs/>
          <w:kern w:val="36"/>
          <w:sz w:val="22"/>
          <w:szCs w:val="22"/>
          <w:lang w:val="en-US"/>
        </w:rPr>
      </w:pPr>
      <w:r w:rsidRPr="003F3E65">
        <w:rPr>
          <w:rFonts w:ascii="Arial" w:hAnsi="Arial"/>
          <w:b/>
          <w:sz w:val="22"/>
          <w:lang w:val="en-US"/>
        </w:rPr>
        <w:t xml:space="preserve">Façades vitrées signées BGT Bischoff Glastechnik pour la Columbia Business School </w:t>
      </w:r>
    </w:p>
    <w:p w:rsidR="003F3E65" w:rsidRPr="003F3E65" w:rsidRDefault="003F3E65" w:rsidP="003F3E65">
      <w:pPr>
        <w:spacing w:line="360" w:lineRule="auto"/>
        <w:jc w:val="both"/>
        <w:outlineLvl w:val="0"/>
        <w:rPr>
          <w:rFonts w:ascii="Arial" w:eastAsia="Times New Roman" w:hAnsi="Arial"/>
          <w:b/>
          <w:bCs/>
          <w:kern w:val="36"/>
          <w:sz w:val="24"/>
          <w:szCs w:val="24"/>
          <w:lang w:val="en-US"/>
        </w:rPr>
      </w:pPr>
    </w:p>
    <w:p w:rsidR="003F3E65" w:rsidRPr="0023414B" w:rsidRDefault="003F3E65" w:rsidP="003F3E65">
      <w:pPr>
        <w:spacing w:line="360" w:lineRule="auto"/>
        <w:jc w:val="both"/>
        <w:outlineLvl w:val="0"/>
        <w:rPr>
          <w:rFonts w:ascii="Arial" w:hAnsi="Arial" w:cs="Arial"/>
          <w:i/>
          <w:iCs/>
          <w:sz w:val="22"/>
          <w:szCs w:val="22"/>
        </w:rPr>
      </w:pPr>
      <w:r w:rsidRPr="003F3E65">
        <w:rPr>
          <w:rFonts w:ascii="Arial" w:hAnsi="Arial"/>
          <w:b/>
          <w:color w:val="000000" w:themeColor="text1"/>
          <w:sz w:val="22"/>
          <w:lang w:val="en-US"/>
        </w:rPr>
        <w:t>Bretten (DE), mai 2023.</w:t>
      </w:r>
      <w:r w:rsidRPr="003F3E65">
        <w:rPr>
          <w:rFonts w:ascii="Arial" w:hAnsi="Arial"/>
          <w:color w:val="000000" w:themeColor="text1"/>
          <w:sz w:val="22"/>
          <w:lang w:val="en-US"/>
        </w:rPr>
        <w:t xml:space="preserve"> </w:t>
      </w:r>
      <w:r w:rsidRPr="003F3E65">
        <w:rPr>
          <w:rFonts w:ascii="Arial" w:hAnsi="Arial"/>
          <w:i/>
          <w:sz w:val="22"/>
          <w:lang w:val="en-US"/>
        </w:rPr>
        <w:t xml:space="preserve">Le célèbre bureau d’architectes américain Diller Scofidio + Renfro a créé en collaboration avec FX Collaborative deux nouveaux bâtiments au design incomparable pour l’école de commerce de la Columbia University à New York. La composante élémentaire de ce concept est une architecture fondée sur la transparence et la communication qui doit être efficace aussi bien vers l’intérieur que vers l’extérieur et l’environnement. </w:t>
      </w:r>
      <w:r>
        <w:rPr>
          <w:rFonts w:ascii="Arial" w:hAnsi="Arial"/>
          <w:i/>
          <w:sz w:val="22"/>
        </w:rPr>
        <w:t>Cette idée a été concrétisée en grande partie grâce à 25 400 m</w:t>
      </w:r>
      <w:r>
        <w:rPr>
          <w:rFonts w:ascii="Arial" w:hAnsi="Arial"/>
          <w:i/>
          <w:sz w:val="22"/>
          <w:vertAlign w:val="superscript"/>
        </w:rPr>
        <w:t>2</w:t>
      </w:r>
      <w:r>
        <w:rPr>
          <w:rFonts w:ascii="Arial" w:hAnsi="Arial"/>
          <w:i/>
          <w:sz w:val="22"/>
        </w:rPr>
        <w:t xml:space="preserve"> de verre feuilleté de sécurité produit par BGT Bischoff Glastechnik, une entreprise du groupe Glas Trösch. </w:t>
      </w:r>
    </w:p>
    <w:p w:rsidR="003F3E65" w:rsidRDefault="003F3E65" w:rsidP="003F3E65">
      <w:pPr>
        <w:spacing w:line="360" w:lineRule="auto"/>
        <w:jc w:val="both"/>
        <w:outlineLvl w:val="0"/>
        <w:rPr>
          <w:rFonts w:ascii="Arial" w:hAnsi="Arial" w:cs="Arial"/>
          <w:sz w:val="22"/>
          <w:szCs w:val="22"/>
        </w:rPr>
      </w:pPr>
    </w:p>
    <w:p w:rsidR="003F3E65" w:rsidRPr="003F3E65" w:rsidRDefault="003F3E65" w:rsidP="003F3E65">
      <w:pPr>
        <w:spacing w:line="360" w:lineRule="auto"/>
        <w:jc w:val="both"/>
        <w:outlineLvl w:val="0"/>
        <w:rPr>
          <w:rFonts w:ascii="Arial" w:hAnsi="Arial" w:cs="Arial"/>
          <w:sz w:val="22"/>
          <w:szCs w:val="22"/>
          <w:lang w:val="en-US"/>
        </w:rPr>
      </w:pPr>
      <w:r w:rsidRPr="003F3E65">
        <w:rPr>
          <w:rFonts w:ascii="Arial" w:hAnsi="Arial"/>
          <w:sz w:val="22"/>
          <w:lang w:val="en-US"/>
        </w:rPr>
        <w:t>Transparents, dynamiques et interactifs : les deux bâtiments en vis-à-vis de la Columbia Business School, signés Diller Scofidio + Renfro / FX Collaborative, sont récemment venus s’ajouter au nouveau campus Manhattanville à West Harlem, qui a été conçu selon les plans du bureau Renzo Piano Building Workshop. Le projet de cet ensemble architectural de 492 000 m</w:t>
      </w:r>
      <w:r w:rsidRPr="003F3E65">
        <w:rPr>
          <w:rFonts w:ascii="Arial" w:hAnsi="Arial"/>
          <w:sz w:val="22"/>
          <w:vertAlign w:val="superscript"/>
          <w:lang w:val="en-US"/>
        </w:rPr>
        <w:t>2</w:t>
      </w:r>
      <w:r w:rsidRPr="003F3E65">
        <w:rPr>
          <w:rFonts w:ascii="Arial" w:hAnsi="Arial"/>
          <w:sz w:val="22"/>
          <w:lang w:val="en-US"/>
        </w:rPr>
        <w:t xml:space="preserve"> au total s’inscrit ici dans la tendance à la promotion de l’apprentissage informel et des interactions spontanées. Le bâtiment de onze étages « Henry R. Kravis Hall » et celui de huit étages baptisé « David Geffen Hall » accueillent un ensemble multifonctionnel de salles de séminaire, d’apprentissage et de conférence, ainsi que de bureaux, de restaurants et de commerces. Les deux constructions sont développées autour d’un noyau constitué d’un vaste espace prévu pour favoriser les rencontres entre les étages et les groupes d’utilisateurs. Un système de chemins et d’espaces de repos enchevêtrés vient par ailleurs souligner le plan de base réalisé en mettant l’accent sur la circulation et la collaboration. Le facteur de l’éclairage naturel est aussi décisif pour que cette architecture soit un succès. La lumière du jour peut ainsi pénétrer profondément à l’intérieur des bâtiments grâce à des façades vitrées échelonnées et superposées.</w:t>
      </w:r>
    </w:p>
    <w:p w:rsidR="003F3E65" w:rsidRPr="003F3E65" w:rsidRDefault="003F3E65" w:rsidP="003F3E65">
      <w:pPr>
        <w:spacing w:line="360" w:lineRule="auto"/>
        <w:jc w:val="both"/>
        <w:outlineLvl w:val="0"/>
        <w:rPr>
          <w:rFonts w:ascii="Arial" w:hAnsi="Arial" w:cs="Arial"/>
          <w:b/>
          <w:bCs/>
          <w:sz w:val="22"/>
          <w:szCs w:val="22"/>
          <w:lang w:val="en-US"/>
        </w:rPr>
      </w:pPr>
    </w:p>
    <w:p w:rsidR="003F3E65" w:rsidRPr="00417586" w:rsidRDefault="003F3E65" w:rsidP="003F3E65">
      <w:pPr>
        <w:spacing w:line="360" w:lineRule="auto"/>
        <w:jc w:val="both"/>
        <w:outlineLvl w:val="0"/>
        <w:rPr>
          <w:rFonts w:ascii="Arial" w:hAnsi="Arial" w:cs="Arial"/>
          <w:b/>
          <w:bCs/>
          <w:sz w:val="22"/>
          <w:szCs w:val="22"/>
        </w:rPr>
      </w:pPr>
      <w:r>
        <w:rPr>
          <w:rFonts w:ascii="Arial" w:hAnsi="Arial"/>
          <w:b/>
          <w:sz w:val="22"/>
        </w:rPr>
        <w:t>Une conception de façade toute en nuances</w:t>
      </w:r>
    </w:p>
    <w:p w:rsidR="003F3E65" w:rsidRPr="00417586" w:rsidRDefault="003F3E65" w:rsidP="003F3E65">
      <w:pPr>
        <w:spacing w:line="360" w:lineRule="auto"/>
        <w:jc w:val="both"/>
        <w:outlineLvl w:val="0"/>
        <w:rPr>
          <w:rFonts w:ascii="Arial" w:hAnsi="Arial" w:cs="Arial"/>
          <w:sz w:val="22"/>
          <w:szCs w:val="22"/>
        </w:rPr>
      </w:pPr>
      <w:r>
        <w:rPr>
          <w:rFonts w:ascii="Arial" w:hAnsi="Arial"/>
          <w:sz w:val="22"/>
        </w:rPr>
        <w:t xml:space="preserve">Ces ouvrages réalisés dans un langage architectural semblable impressionnent par la conception très expressive de leurs façades. Les bandes de vitrage opaque encadrées en blanc et légèrement en surplomb du Kravis Hall soulignent les différents niveaux et délimitent </w:t>
      </w:r>
      <w:r>
        <w:rPr>
          <w:rFonts w:ascii="Arial" w:hAnsi="Arial"/>
          <w:sz w:val="22"/>
        </w:rPr>
        <w:lastRenderedPageBreak/>
        <w:t xml:space="preserve">le volume. La surface vitrée claire de la façade construite en retrait permet d’apercevoir la structure expressive des escaliers et des piliers en filigranes ainsi que l’activité qui règne à l’intérieur du bâtiment. De l’intérieur, cette transparence offre une vue sur la vie animée de la ville et du campus ainsi que sur l’Hudson qui passe non loin de là. Les dalles des étages du Geffen Hall sont mises en évidence par des surfaces linéaires opaques, alors que des bandes de fenêtres comportant des segments de différents niveaux de transparence laissent entrevoir l’activité qui règne à l’intérieur du bâtiment. La perméabilité intentionnelle avec le quartier environnant se concrétise par ailleurs au niveau du rez-de-chaussée enveloppé de transparence avec une affectation partiellement publique. </w:t>
      </w:r>
    </w:p>
    <w:p w:rsidR="003F3E65" w:rsidRPr="000E69E2" w:rsidRDefault="003F3E65" w:rsidP="003F3E65">
      <w:pPr>
        <w:spacing w:line="360" w:lineRule="auto"/>
        <w:jc w:val="both"/>
        <w:outlineLvl w:val="0"/>
        <w:rPr>
          <w:rFonts w:ascii="Arial" w:hAnsi="Arial" w:cs="Arial"/>
          <w:sz w:val="22"/>
          <w:szCs w:val="22"/>
          <w:lang w:val="fr-CH"/>
        </w:rPr>
      </w:pPr>
    </w:p>
    <w:p w:rsidR="003F3E65" w:rsidRPr="00417586" w:rsidRDefault="003F3E65" w:rsidP="003F3E65">
      <w:pPr>
        <w:spacing w:line="360" w:lineRule="auto"/>
        <w:jc w:val="both"/>
        <w:outlineLvl w:val="0"/>
        <w:rPr>
          <w:rFonts w:ascii="Arial" w:hAnsi="Arial" w:cs="Arial"/>
          <w:b/>
          <w:bCs/>
          <w:sz w:val="22"/>
          <w:szCs w:val="22"/>
        </w:rPr>
      </w:pPr>
      <w:r>
        <w:rPr>
          <w:rFonts w:ascii="Arial" w:hAnsi="Arial"/>
          <w:b/>
          <w:sz w:val="22"/>
        </w:rPr>
        <w:t>Des composants de grande qualité pour le vitrage isolant</w:t>
      </w:r>
    </w:p>
    <w:p w:rsidR="003F3E65" w:rsidRPr="00417586" w:rsidRDefault="003F3E65" w:rsidP="003F3E65">
      <w:pPr>
        <w:spacing w:line="360" w:lineRule="auto"/>
        <w:jc w:val="both"/>
        <w:outlineLvl w:val="0"/>
        <w:rPr>
          <w:rFonts w:ascii="Arial" w:hAnsi="Arial" w:cs="Arial"/>
          <w:sz w:val="22"/>
          <w:szCs w:val="22"/>
        </w:rPr>
      </w:pPr>
      <w:r>
        <w:rPr>
          <w:rFonts w:ascii="Arial" w:hAnsi="Arial"/>
          <w:sz w:val="22"/>
        </w:rPr>
        <w:t>Les produits de BGT Bischoff Glastechnik ont contribué à donner ce caractère unique aux bâtiments universitaires avec une surface totale de 12 700 m</w:t>
      </w:r>
      <w:r>
        <w:rPr>
          <w:rFonts w:ascii="Arial" w:hAnsi="Arial"/>
          <w:sz w:val="22"/>
          <w:vertAlign w:val="superscript"/>
        </w:rPr>
        <w:t>2</w:t>
      </w:r>
      <w:r>
        <w:rPr>
          <w:rFonts w:ascii="Arial" w:hAnsi="Arial"/>
          <w:sz w:val="22"/>
        </w:rPr>
        <w:t xml:space="preserve"> de vitrage isolant. Dans ce cadre, l’entreprise qui appartient au fabricant de verre Glas Trösch a également livré les différents éléments nécessaires aux vitrages de façade appliqués à partir du premier étage. Une surface vitrée de 7600 m</w:t>
      </w:r>
      <w:r>
        <w:rPr>
          <w:rFonts w:ascii="Arial" w:hAnsi="Arial"/>
          <w:sz w:val="22"/>
          <w:vertAlign w:val="superscript"/>
        </w:rPr>
        <w:t>2</w:t>
      </w:r>
      <w:r>
        <w:rPr>
          <w:rFonts w:ascii="Arial" w:hAnsi="Arial"/>
          <w:sz w:val="22"/>
        </w:rPr>
        <w:t>, soit toutes les zones qui paraissent opaques depuis l’extérieur, a été traitée avec une impression de couleur blanche céramique qui a été chauffée et intégrée à la surface durant le processus de trempe. Une partie des vitrages extérieurs imprimés particulièrement résistants aux intempéries et d’une épaisseur totale de 23,52 millimètres a représenté un véritable défi technique en termes de processus de production, car ils ont dû être dotés d’un revêtement dans des dimensions fixes sur un site tiers avant leur laminage. Les 5100 m</w:t>
      </w:r>
      <w:r>
        <w:rPr>
          <w:rFonts w:ascii="Arial" w:hAnsi="Arial"/>
          <w:sz w:val="22"/>
          <w:vertAlign w:val="superscript"/>
        </w:rPr>
        <w:t>2</w:t>
      </w:r>
      <w:r>
        <w:rPr>
          <w:rFonts w:ascii="Arial" w:hAnsi="Arial"/>
          <w:sz w:val="22"/>
        </w:rPr>
        <w:t xml:space="preserve"> restants comportent une sérigraphie sur leurs bords. Toute la surface de la façade accueille par ailleurs 12 700 m</w:t>
      </w:r>
      <w:r>
        <w:rPr>
          <w:rFonts w:ascii="Arial" w:hAnsi="Arial"/>
          <w:sz w:val="22"/>
          <w:vertAlign w:val="superscript"/>
        </w:rPr>
        <w:t>2</w:t>
      </w:r>
      <w:r>
        <w:rPr>
          <w:rFonts w:ascii="Arial" w:hAnsi="Arial"/>
          <w:sz w:val="22"/>
        </w:rPr>
        <w:t xml:space="preserve"> de verre VSG non imprimé qui constitue le vitrage intérieur des unités de verre isolant. </w:t>
      </w:r>
    </w:p>
    <w:p w:rsidR="003F3E65" w:rsidRPr="000E69E2" w:rsidRDefault="003F3E65" w:rsidP="003F3E65">
      <w:pPr>
        <w:spacing w:line="360" w:lineRule="auto"/>
        <w:jc w:val="both"/>
        <w:outlineLvl w:val="0"/>
        <w:rPr>
          <w:rFonts w:ascii="Arial" w:hAnsi="Arial" w:cs="Arial"/>
          <w:sz w:val="22"/>
          <w:szCs w:val="22"/>
          <w:lang w:val="fr-CH"/>
        </w:rPr>
      </w:pPr>
    </w:p>
    <w:p w:rsidR="003F3E65" w:rsidRDefault="003F3E65" w:rsidP="003F3E65">
      <w:pPr>
        <w:spacing w:line="360" w:lineRule="auto"/>
        <w:jc w:val="both"/>
        <w:outlineLvl w:val="0"/>
        <w:rPr>
          <w:rFonts w:ascii="Arial" w:hAnsi="Arial" w:cs="Arial"/>
          <w:sz w:val="22"/>
          <w:szCs w:val="22"/>
        </w:rPr>
      </w:pPr>
      <w:r>
        <w:rPr>
          <w:rFonts w:ascii="Arial" w:hAnsi="Arial"/>
          <w:sz w:val="22"/>
        </w:rPr>
        <w:t xml:space="preserve">Conception, fonctionnalité et durabilité sont autant d’idées incontournables pour ces deux bâtiments de haute école à New York. Les nouvelles constructions visent ainsi une certification LEED v3 Gold. Et le choix des verres isolants partiellement imprimés participe à leur bonne performance puisque les surfaces de façade opaques empêchent que l’intérieur du bâtiment se réchauffe trop. </w:t>
      </w:r>
    </w:p>
    <w:p w:rsidR="003F3E65" w:rsidRPr="000E69E2" w:rsidRDefault="003F3E65" w:rsidP="003F3E65">
      <w:pPr>
        <w:spacing w:after="160" w:line="259" w:lineRule="auto"/>
        <w:rPr>
          <w:rFonts w:ascii="Arial" w:hAnsi="Arial" w:cs="Arial"/>
          <w:sz w:val="22"/>
          <w:szCs w:val="22"/>
          <w:lang w:val="fr-CH"/>
        </w:rPr>
      </w:pPr>
    </w:p>
    <w:p w:rsidR="003F3E65" w:rsidRDefault="003F3E65" w:rsidP="003F3E65">
      <w:pPr>
        <w:spacing w:after="160" w:line="259" w:lineRule="auto"/>
        <w:rPr>
          <w:rFonts w:ascii="Arial" w:hAnsi="Arial" w:cs="Arial"/>
          <w:sz w:val="22"/>
          <w:szCs w:val="22"/>
        </w:rPr>
      </w:pPr>
      <w:r>
        <w:br w:type="page"/>
      </w:r>
    </w:p>
    <w:p w:rsidR="003F3E65" w:rsidRPr="00336DEA" w:rsidRDefault="003F3E65" w:rsidP="003F3E65">
      <w:pPr>
        <w:spacing w:line="360" w:lineRule="auto"/>
        <w:jc w:val="both"/>
        <w:rPr>
          <w:rFonts w:ascii="Arial" w:hAnsi="Arial" w:cs="Arial"/>
          <w:iCs/>
          <w:color w:val="000000" w:themeColor="text1"/>
          <w:sz w:val="22"/>
          <w:szCs w:val="22"/>
        </w:rPr>
      </w:pPr>
      <w:r>
        <w:rPr>
          <w:rFonts w:ascii="Arial" w:hAnsi="Arial"/>
          <w:b/>
          <w:sz w:val="22"/>
        </w:rPr>
        <w:lastRenderedPageBreak/>
        <w:t>Caractéristiques de la construction :</w:t>
      </w:r>
      <w:r>
        <w:rPr>
          <w:rFonts w:ascii="Arial" w:hAnsi="Arial"/>
          <w:sz w:val="22"/>
        </w:rPr>
        <w:t xml:space="preserve"> </w:t>
      </w:r>
    </w:p>
    <w:p w:rsidR="003F3E65" w:rsidRPr="001B74FA" w:rsidRDefault="003F3E65" w:rsidP="003F3E65">
      <w:pPr>
        <w:spacing w:line="360" w:lineRule="auto"/>
        <w:ind w:left="2832" w:hanging="2832"/>
        <w:rPr>
          <w:rFonts w:ascii="Arial" w:hAnsi="Arial" w:cs="Arial"/>
          <w:sz w:val="22"/>
          <w:szCs w:val="22"/>
        </w:rPr>
      </w:pPr>
      <w:r>
        <w:rPr>
          <w:rFonts w:ascii="Arial" w:hAnsi="Arial"/>
          <w:sz w:val="22"/>
        </w:rPr>
        <w:t>Projet :</w:t>
      </w:r>
      <w:r>
        <w:rPr>
          <w:rFonts w:ascii="Arial" w:hAnsi="Arial"/>
          <w:sz w:val="22"/>
        </w:rPr>
        <w:tab/>
        <w:t>Columbia Business School</w:t>
      </w:r>
    </w:p>
    <w:p w:rsidR="003F3E65" w:rsidRPr="000E69E2" w:rsidRDefault="003F3E65" w:rsidP="003F3E65">
      <w:pPr>
        <w:spacing w:line="360" w:lineRule="auto"/>
        <w:ind w:left="2832"/>
        <w:rPr>
          <w:rFonts w:ascii="Arial" w:hAnsi="Arial" w:cs="Arial"/>
          <w:sz w:val="22"/>
          <w:szCs w:val="22"/>
          <w:lang w:val="de-CH"/>
        </w:rPr>
      </w:pPr>
      <w:r w:rsidRPr="000E69E2">
        <w:rPr>
          <w:rFonts w:ascii="Arial" w:hAnsi="Arial"/>
          <w:sz w:val="22"/>
          <w:lang w:val="de-CH"/>
        </w:rPr>
        <w:t>Henry R. Kravis Hall et David Geffen Hall</w:t>
      </w:r>
    </w:p>
    <w:p w:rsidR="003F3E65" w:rsidRPr="001B74FA" w:rsidRDefault="003F3E65" w:rsidP="003F3E65">
      <w:pPr>
        <w:spacing w:line="360" w:lineRule="auto"/>
        <w:rPr>
          <w:rFonts w:ascii="Arial" w:hAnsi="Arial" w:cs="Arial"/>
          <w:sz w:val="22"/>
          <w:szCs w:val="22"/>
        </w:rPr>
      </w:pPr>
      <w:r>
        <w:rPr>
          <w:rFonts w:ascii="Arial" w:hAnsi="Arial"/>
          <w:sz w:val="22"/>
        </w:rPr>
        <w:t>Lieu :</w:t>
      </w:r>
      <w:r>
        <w:rPr>
          <w:rFonts w:ascii="Arial" w:hAnsi="Arial"/>
          <w:sz w:val="22"/>
        </w:rPr>
        <w:tab/>
      </w:r>
      <w:r>
        <w:rPr>
          <w:rFonts w:ascii="Arial" w:hAnsi="Arial"/>
          <w:sz w:val="22"/>
        </w:rPr>
        <w:tab/>
      </w:r>
      <w:r>
        <w:rPr>
          <w:rFonts w:ascii="Arial" w:hAnsi="Arial"/>
          <w:sz w:val="22"/>
        </w:rPr>
        <w:tab/>
      </w:r>
      <w:r>
        <w:rPr>
          <w:rFonts w:ascii="Arial" w:hAnsi="Arial"/>
          <w:sz w:val="22"/>
        </w:rPr>
        <w:tab/>
        <w:t>New York, États-Unis</w:t>
      </w:r>
    </w:p>
    <w:p w:rsidR="003F3E65" w:rsidRPr="00C64C7C" w:rsidRDefault="003F3E65" w:rsidP="003F3E65">
      <w:pPr>
        <w:spacing w:line="360" w:lineRule="auto"/>
        <w:rPr>
          <w:rFonts w:ascii="Arial" w:hAnsi="Arial" w:cs="Arial"/>
          <w:sz w:val="22"/>
          <w:szCs w:val="22"/>
        </w:rPr>
      </w:pPr>
      <w:r>
        <w:rPr>
          <w:rFonts w:ascii="Arial" w:hAnsi="Arial"/>
          <w:sz w:val="22"/>
        </w:rPr>
        <w:t xml:space="preserve">Fin des travaux : </w:t>
      </w:r>
      <w:r>
        <w:rPr>
          <w:rFonts w:ascii="Arial" w:hAnsi="Arial"/>
          <w:sz w:val="22"/>
        </w:rPr>
        <w:tab/>
      </w:r>
      <w:r>
        <w:rPr>
          <w:rFonts w:ascii="Arial" w:hAnsi="Arial"/>
          <w:sz w:val="22"/>
        </w:rPr>
        <w:tab/>
        <w:t>2022</w:t>
      </w:r>
    </w:p>
    <w:p w:rsidR="003F3E65" w:rsidRPr="00C64C7C" w:rsidRDefault="003F3E65" w:rsidP="003F3E65">
      <w:pPr>
        <w:spacing w:line="360" w:lineRule="auto"/>
        <w:ind w:left="2836" w:hanging="2836"/>
        <w:rPr>
          <w:rFonts w:ascii="Arial" w:eastAsia="Arial" w:hAnsi="Arial" w:cs="Arial"/>
          <w:sz w:val="22"/>
          <w:szCs w:val="22"/>
        </w:rPr>
      </w:pPr>
      <w:r>
        <w:rPr>
          <w:rFonts w:ascii="Arial" w:hAnsi="Arial"/>
          <w:sz w:val="22"/>
        </w:rPr>
        <w:t>Maître d’ouvrage :</w:t>
      </w:r>
      <w:r>
        <w:rPr>
          <w:rFonts w:ascii="Arial" w:hAnsi="Arial"/>
          <w:sz w:val="22"/>
        </w:rPr>
        <w:tab/>
        <w:t>Columbia University</w:t>
      </w:r>
    </w:p>
    <w:p w:rsidR="003F3E65" w:rsidRPr="001F114E" w:rsidRDefault="003F3E65" w:rsidP="003F3E65">
      <w:pPr>
        <w:spacing w:line="360" w:lineRule="auto"/>
        <w:ind w:left="2835" w:hanging="2835"/>
        <w:rPr>
          <w:rFonts w:ascii="Arial" w:hAnsi="Arial" w:cs="Arial"/>
          <w:sz w:val="22"/>
          <w:szCs w:val="22"/>
        </w:rPr>
      </w:pPr>
      <w:r>
        <w:rPr>
          <w:rFonts w:ascii="Arial" w:hAnsi="Arial"/>
          <w:sz w:val="22"/>
        </w:rPr>
        <w:t xml:space="preserve">Architectes : </w:t>
      </w:r>
      <w:r>
        <w:rPr>
          <w:rFonts w:ascii="Arial" w:hAnsi="Arial"/>
          <w:sz w:val="22"/>
        </w:rPr>
        <w:tab/>
        <w:t>Diller Scofidio + Renfro en collaboration avec FXCollaborative</w:t>
      </w:r>
    </w:p>
    <w:p w:rsidR="003F3E65" w:rsidRDefault="003F3E65" w:rsidP="003F3E65">
      <w:pPr>
        <w:spacing w:line="360" w:lineRule="auto"/>
        <w:ind w:left="2835" w:hanging="2835"/>
        <w:rPr>
          <w:rFonts w:ascii="Arial" w:hAnsi="Arial" w:cs="Arial"/>
          <w:sz w:val="22"/>
          <w:szCs w:val="22"/>
        </w:rPr>
      </w:pPr>
      <w:r>
        <w:rPr>
          <w:rFonts w:ascii="Arial" w:hAnsi="Arial"/>
          <w:color w:val="000000" w:themeColor="text1"/>
          <w:sz w:val="22"/>
        </w:rPr>
        <w:t>Planification des façades :</w:t>
      </w:r>
      <w:r>
        <w:rPr>
          <w:rFonts w:ascii="Arial" w:hAnsi="Arial"/>
          <w:color w:val="000000" w:themeColor="text1"/>
          <w:sz w:val="22"/>
        </w:rPr>
        <w:tab/>
      </w:r>
      <w:r>
        <w:rPr>
          <w:rFonts w:ascii="Arial" w:hAnsi="Arial"/>
          <w:sz w:val="22"/>
        </w:rPr>
        <w:t>Arup</w:t>
      </w:r>
    </w:p>
    <w:p w:rsidR="003F3E65" w:rsidRPr="00F41463" w:rsidRDefault="003F3E65" w:rsidP="003F3E65">
      <w:pPr>
        <w:spacing w:line="360" w:lineRule="auto"/>
        <w:ind w:left="2829" w:hanging="2829"/>
        <w:rPr>
          <w:rFonts w:ascii="Arial" w:hAnsi="Arial" w:cs="Arial"/>
          <w:iCs/>
          <w:color w:val="000000" w:themeColor="text1"/>
          <w:sz w:val="22"/>
          <w:szCs w:val="22"/>
        </w:rPr>
      </w:pPr>
      <w:r>
        <w:rPr>
          <w:rFonts w:ascii="Arial" w:hAnsi="Arial"/>
          <w:sz w:val="22"/>
        </w:rPr>
        <w:t xml:space="preserve">Produits : </w:t>
      </w:r>
      <w:r>
        <w:rPr>
          <w:rFonts w:ascii="Arial" w:hAnsi="Arial"/>
          <w:sz w:val="22"/>
        </w:rPr>
        <w:tab/>
      </w:r>
      <w:r>
        <w:rPr>
          <w:rFonts w:ascii="Arial" w:hAnsi="Arial"/>
          <w:color w:val="000000" w:themeColor="text1"/>
          <w:sz w:val="22"/>
        </w:rPr>
        <w:tab/>
        <w:t xml:space="preserve">BGT Bischoff Glastechnik verre feuilleté de sécurité TVG (imprimé selon un procédé de sérigraphie et non imprimé) </w:t>
      </w:r>
    </w:p>
    <w:p w:rsidR="003F3E65" w:rsidRPr="000E69E2" w:rsidRDefault="003F3E65" w:rsidP="003F3E65">
      <w:pPr>
        <w:rPr>
          <w:rFonts w:ascii="Arial" w:eastAsia="Times New Roman" w:hAnsi="Arial"/>
          <w:b/>
          <w:sz w:val="22"/>
          <w:szCs w:val="22"/>
          <w:lang w:val="fr-CH"/>
        </w:rPr>
      </w:pPr>
    </w:p>
    <w:p w:rsidR="003F3E65" w:rsidRDefault="003F3E65" w:rsidP="003F3E65">
      <w:pPr>
        <w:rPr>
          <w:rFonts w:ascii="Arial" w:eastAsia="Times New Roman" w:hAnsi="Arial"/>
          <w:b/>
          <w:sz w:val="22"/>
          <w:szCs w:val="22"/>
        </w:rPr>
      </w:pPr>
      <w:r>
        <w:rPr>
          <w:rFonts w:ascii="Arial" w:hAnsi="Arial"/>
          <w:b/>
          <w:sz w:val="22"/>
        </w:rPr>
        <w:t>Illustrations :</w:t>
      </w:r>
    </w:p>
    <w:p w:rsidR="003F3E65" w:rsidRDefault="003F3E65" w:rsidP="003F3E65">
      <w:pPr>
        <w:rPr>
          <w:rFonts w:ascii="Arial" w:eastAsia="Times New Roman" w:hAnsi="Arial"/>
          <w:b/>
          <w:sz w:val="22"/>
          <w:szCs w:val="22"/>
          <w:lang w:val="de-CH"/>
        </w:rPr>
      </w:pPr>
    </w:p>
    <w:p w:rsidR="003F3E65" w:rsidRDefault="003F3E65" w:rsidP="003F3E65">
      <w:pPr>
        <w:rPr>
          <w:rFonts w:ascii="Arial" w:eastAsia="Times New Roman" w:hAnsi="Arial"/>
          <w:b/>
          <w:sz w:val="22"/>
          <w:szCs w:val="22"/>
        </w:rPr>
      </w:pPr>
      <w:r>
        <w:rPr>
          <w:rFonts w:ascii="Arial" w:hAnsi="Arial"/>
          <w:b/>
          <w:noProof/>
          <w:sz w:val="22"/>
        </w:rPr>
        <w:drawing>
          <wp:inline distT="0" distB="0" distL="0" distR="0" wp14:anchorId="3C63D6C5" wp14:editId="5D33171C">
            <wp:extent cx="5971540" cy="3982085"/>
            <wp:effectExtent l="0" t="0" r="0" b="5715"/>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pic:cNvPicPr/>
                  </pic:nvPicPr>
                  <pic:blipFill>
                    <a:blip r:embed="rId6" cstate="screen">
                      <a:extLst>
                        <a:ext uri="{28A0092B-C50C-407E-A947-70E740481C1C}">
                          <a14:useLocalDpi xmlns:a14="http://schemas.microsoft.com/office/drawing/2010/main"/>
                        </a:ext>
                      </a:extLst>
                    </a:blip>
                    <a:stretch>
                      <a:fillRect/>
                    </a:stretch>
                  </pic:blipFill>
                  <pic:spPr>
                    <a:xfrm>
                      <a:off x="0" y="0"/>
                      <a:ext cx="5971540" cy="3982085"/>
                    </a:xfrm>
                    <a:prstGeom prst="rect">
                      <a:avLst/>
                    </a:prstGeom>
                  </pic:spPr>
                </pic:pic>
              </a:graphicData>
            </a:graphic>
          </wp:inline>
        </w:drawing>
      </w:r>
    </w:p>
    <w:p w:rsidR="003F3E65" w:rsidRPr="0088727F" w:rsidRDefault="003F3E65" w:rsidP="003F3E65">
      <w:pPr>
        <w:rPr>
          <w:rFonts w:ascii="Arial" w:eastAsia="Times New Roman" w:hAnsi="Arial"/>
          <w:b/>
          <w:sz w:val="10"/>
          <w:szCs w:val="10"/>
          <w:lang w:val="de-CH"/>
        </w:rPr>
      </w:pPr>
    </w:p>
    <w:p w:rsidR="003F3E65" w:rsidRDefault="003F3E65" w:rsidP="003F3E65">
      <w:pPr>
        <w:rPr>
          <w:rFonts w:ascii="Arial" w:eastAsia="Arial" w:hAnsi="Arial" w:cs="Arial"/>
          <w:spacing w:val="-6"/>
        </w:rPr>
      </w:pPr>
      <w:r>
        <w:rPr>
          <w:rFonts w:ascii="Arial" w:hAnsi="Arial"/>
        </w:rPr>
        <w:t xml:space="preserve">Le nouveau bâtiment de onze étages baptisé Henry R. Kravis Hall impressionne avec sa conception de façade expressive constituée de bandes d’étages opaques et encadrées en blanc qui enveloppent organiquement un noyau enveloppé de verre clair. </w:t>
      </w:r>
    </w:p>
    <w:p w:rsidR="003F3E65" w:rsidRDefault="003F3E65" w:rsidP="003F3E65">
      <w:pPr>
        <w:rPr>
          <w:rFonts w:ascii="Arial" w:eastAsia="Arial" w:hAnsi="Arial" w:cs="Arial"/>
          <w:spacing w:val="-6"/>
        </w:rPr>
      </w:pPr>
      <w:r>
        <w:rPr>
          <w:rFonts w:ascii="Arial" w:hAnsi="Arial"/>
        </w:rPr>
        <w:t>Photo : Iwan Baan</w:t>
      </w:r>
    </w:p>
    <w:p w:rsidR="003F3E65" w:rsidRDefault="003F3E65" w:rsidP="003F3E65">
      <w:pPr>
        <w:rPr>
          <w:rFonts w:ascii="Arial" w:hAnsi="Arial" w:cs="Arial"/>
        </w:rPr>
      </w:pPr>
      <w:r>
        <w:rPr>
          <w:rFonts w:ascii="Arial" w:hAnsi="Arial"/>
          <w:noProof/>
        </w:rPr>
        <w:lastRenderedPageBreak/>
        <mc:AlternateContent>
          <mc:Choice Requires="wps">
            <w:drawing>
              <wp:anchor distT="0" distB="0" distL="114300" distR="114300" simplePos="0" relativeHeight="251660288" behindDoc="0" locked="0" layoutInCell="1" allowOverlap="1" wp14:anchorId="000FF167" wp14:editId="7EAC9BCF">
                <wp:simplePos x="0" y="0"/>
                <wp:positionH relativeFrom="column">
                  <wp:posOffset>2923540</wp:posOffset>
                </wp:positionH>
                <wp:positionV relativeFrom="paragraph">
                  <wp:posOffset>2103755</wp:posOffset>
                </wp:positionV>
                <wp:extent cx="3122930" cy="892810"/>
                <wp:effectExtent l="0" t="0" r="1270" b="0"/>
                <wp:wrapNone/>
                <wp:docPr id="15" name="Textfeld 15"/>
                <wp:cNvGraphicFramePr/>
                <a:graphic xmlns:a="http://schemas.openxmlformats.org/drawingml/2006/main">
                  <a:graphicData uri="http://schemas.microsoft.com/office/word/2010/wordprocessingShape">
                    <wps:wsp>
                      <wps:cNvSpPr txBox="1"/>
                      <wps:spPr>
                        <a:xfrm>
                          <a:off x="0" y="0"/>
                          <a:ext cx="3122930" cy="892810"/>
                        </a:xfrm>
                        <a:prstGeom prst="rect">
                          <a:avLst/>
                        </a:prstGeom>
                        <a:solidFill>
                          <a:schemeClr val="lt1"/>
                        </a:solidFill>
                        <a:ln w="6350">
                          <a:noFill/>
                        </a:ln>
                      </wps:spPr>
                      <wps:txbx>
                        <w:txbxContent>
                          <w:p w:rsidR="003F3E65" w:rsidRDefault="003F3E65" w:rsidP="003F3E65">
                            <w:pPr>
                              <w:rPr>
                                <w:rFonts w:ascii="Arial" w:hAnsi="Arial" w:cs="Arial"/>
                                <w:bCs/>
                              </w:rPr>
                            </w:pPr>
                            <w:r>
                              <w:rPr>
                                <w:rFonts w:ascii="Arial" w:hAnsi="Arial"/>
                              </w:rPr>
                              <w:t xml:space="preserve">Sur le bâtiment de huit étages baptisé David Geffen Hall, des zones de façades vitrées transparentes et opaques se marient pour former une impression globale cristalline. </w:t>
                            </w:r>
                          </w:p>
                          <w:p w:rsidR="003F3E65" w:rsidRPr="0088727F" w:rsidRDefault="003F3E65" w:rsidP="003F3E65">
                            <w:pPr>
                              <w:rPr>
                                <w:rFonts w:ascii="Arial" w:hAnsi="Arial" w:cs="Arial"/>
                              </w:rPr>
                            </w:pPr>
                            <w:r>
                              <w:rPr>
                                <w:rFonts w:ascii="Arial" w:hAnsi="Arial"/>
                              </w:rPr>
                              <w:t>Photo : Iwan Baan</w:t>
                            </w:r>
                          </w:p>
                          <w:p w:rsidR="003F3E65" w:rsidRPr="0088727F" w:rsidRDefault="003F3E65" w:rsidP="003F3E65">
                            <w:pPr>
                              <w:rPr>
                                <w:rFonts w:ascii="Arial" w:hAnsi="Arial" w:cs="Arial"/>
                                <w:bCs/>
                                <w:lang w:val="de-CH"/>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00FF167" id="_x0000_t202" coordsize="21600,21600" o:spt="202" path="m,l,21600r21600,l21600,xe">
                <v:stroke joinstyle="miter"/>
                <v:path gradientshapeok="t" o:connecttype="rect"/>
              </v:shapetype>
              <v:shape id="Textfeld 15" o:spid="_x0000_s1026" type="#_x0000_t202" style="position:absolute;margin-left:230.2pt;margin-top:165.65pt;width:245.9pt;height:70.3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" fillcolor="white [3201]" stroked="f" strokeweight=".5pt">
                <v:textbox>
                  <w:txbxContent>
                    <w:p w:rsidR="003F3E65" w:rsidRDefault="003F3E65" w:rsidP="003F3E65">
                      <w:pPr>
                        <w:rPr>
                          <w:rFonts w:ascii="Arial" w:hAnsi="Arial" w:cs="Arial"/>
                          <w:bCs/>
                        </w:rPr>
                      </w:pPr>
                      <w:r>
                        <w:rPr>
                          <w:rFonts w:ascii="Arial" w:hAnsi="Arial"/>
                        </w:rPr>
                        <w:t xml:space="preserve">Sur le bâtiment de huit étages baptisé David Geffen Hall, des zones de façades vitrées transparentes et opaques se marient pour former une impression globale cristalline. </w:t>
                      </w:r>
                    </w:p>
                    <w:p w:rsidR="003F3E65" w:rsidRPr="0088727F" w:rsidRDefault="003F3E65" w:rsidP="003F3E65">
                      <w:pPr>
                        <w:rPr>
                          <w:rFonts w:ascii="Arial" w:hAnsi="Arial" w:cs="Arial"/>
                        </w:rPr>
                      </w:pPr>
                      <w:r>
                        <w:rPr>
                          <w:rFonts w:ascii="Arial" w:hAnsi="Arial"/>
                        </w:rPr>
                        <w:t>Photo : Iwan Baan</w:t>
                      </w:r>
                    </w:p>
                    <w:p w:rsidR="003F3E65" w:rsidRPr="0088727F" w:rsidRDefault="003F3E65" w:rsidP="003F3E65">
                      <w:pPr>
                        <w:rPr>
                          <w:rFonts w:ascii="Arial" w:hAnsi="Arial" w:cs="Arial"/>
                          <w:bCs/>
                          <w:lang w:val="de-CH"/>
                        </w:rPr>
                      </w:pPr>
                    </w:p>
                  </w:txbxContent>
                </v:textbox>
              </v:shape>
            </w:pict>
          </mc:Fallback>
        </mc:AlternateContent>
      </w:r>
      <w:r>
        <w:rPr>
          <w:rFonts w:ascii="Arial" w:hAnsi="Arial"/>
          <w:noProof/>
        </w:rPr>
        <mc:AlternateContent>
          <mc:Choice Requires="wps">
            <w:drawing>
              <wp:anchor distT="0" distB="0" distL="114300" distR="114300" simplePos="0" relativeHeight="251659264" behindDoc="0" locked="0" layoutInCell="1" allowOverlap="1" wp14:anchorId="52689A25" wp14:editId="11EE5A6E">
                <wp:simplePos x="0" y="0"/>
                <wp:positionH relativeFrom="column">
                  <wp:posOffset>-89535</wp:posOffset>
                </wp:positionH>
                <wp:positionV relativeFrom="paragraph">
                  <wp:posOffset>2103777</wp:posOffset>
                </wp:positionV>
                <wp:extent cx="3066561" cy="892810"/>
                <wp:effectExtent l="0" t="0" r="0" b="0"/>
                <wp:wrapNone/>
                <wp:docPr id="14" name="Textfeld 14"/>
                <wp:cNvGraphicFramePr/>
                <a:graphic xmlns:a="http://schemas.openxmlformats.org/drawingml/2006/main">
                  <a:graphicData uri="http://schemas.microsoft.com/office/word/2010/wordprocessingShape">
                    <wps:wsp>
                      <wps:cNvSpPr txBox="1"/>
                      <wps:spPr>
                        <a:xfrm>
                          <a:off x="0" y="0"/>
                          <a:ext cx="3066561" cy="892810"/>
                        </a:xfrm>
                        <a:prstGeom prst="rect">
                          <a:avLst/>
                        </a:prstGeom>
                        <a:solidFill>
                          <a:schemeClr val="lt1"/>
                        </a:solidFill>
                        <a:ln w="6350">
                          <a:noFill/>
                        </a:ln>
                      </wps:spPr>
                      <wps:txbx>
                        <w:txbxContent>
                          <w:p w:rsidR="003F3E65" w:rsidRPr="0088727F" w:rsidRDefault="003F3E65" w:rsidP="003F3E65">
                            <w:pPr>
                              <w:rPr>
                                <w:rFonts w:ascii="Arial" w:hAnsi="Arial" w:cs="Arial"/>
                              </w:rPr>
                            </w:pPr>
                            <w:r>
                              <w:rPr>
                                <w:rFonts w:ascii="Arial" w:hAnsi="Arial"/>
                              </w:rPr>
                              <w:t>Les « escaliers en réseau » des architectes derrière le verre feuilleté de sécurité de BGT s’enroulent sur eux-mêmes.</w:t>
                            </w:r>
                          </w:p>
                          <w:p w:rsidR="003F3E65" w:rsidRPr="0088727F" w:rsidRDefault="003F3E65" w:rsidP="003F3E65">
                            <w:pPr>
                              <w:rPr>
                                <w:rFonts w:ascii="Arial" w:hAnsi="Arial" w:cs="Arial"/>
                              </w:rPr>
                            </w:pPr>
                            <w:r>
                              <w:rPr>
                                <w:rFonts w:ascii="Arial" w:hAnsi="Arial"/>
                              </w:rPr>
                              <w:t>Photo : Iwan Baan</w:t>
                            </w:r>
                          </w:p>
                          <w:p w:rsidR="003F3E65" w:rsidRDefault="003F3E65" w:rsidP="003F3E6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2689A25" id="Textfeld 14" o:spid="_x0000_s1027" type="#_x0000_t202" style="position:absolute;margin-left:-7.05pt;margin-top:165.65pt;width:241.45pt;height:70.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" fillcolor="white [3201]" stroked="f" strokeweight=".5pt">
                <v:textbox>
                  <w:txbxContent>
                    <w:p w:rsidR="003F3E65" w:rsidRPr="0088727F" w:rsidRDefault="003F3E65" w:rsidP="003F3E65">
                      <w:pPr>
                        <w:rPr>
                          <w:rFonts w:ascii="Arial" w:hAnsi="Arial" w:cs="Arial"/>
                        </w:rPr>
                      </w:pPr>
                      <w:r>
                        <w:rPr>
                          <w:rFonts w:ascii="Arial" w:hAnsi="Arial"/>
                        </w:rPr>
                        <w:t>Les « escaliers en réseau » des architectes derrière le verre feuilleté de sécurité de BGT s’enroulent sur eux-mêmes.</w:t>
                      </w:r>
                    </w:p>
                    <w:p w:rsidR="003F3E65" w:rsidRPr="0088727F" w:rsidRDefault="003F3E65" w:rsidP="003F3E65">
                      <w:pPr>
                        <w:rPr>
                          <w:rFonts w:ascii="Arial" w:hAnsi="Arial" w:cs="Arial"/>
                        </w:rPr>
                      </w:pPr>
                      <w:r>
                        <w:rPr>
                          <w:rFonts w:ascii="Arial" w:hAnsi="Arial"/>
                        </w:rPr>
                        <w:t>Photo : Iwan Baan</w:t>
                      </w:r>
                    </w:p>
                    <w:p w:rsidR="003F3E65" w:rsidRDefault="003F3E65" w:rsidP="003F3E65"/>
                  </w:txbxContent>
                </v:textbox>
              </v:shape>
            </w:pict>
          </mc:Fallback>
        </mc:AlternateContent>
      </w:r>
      <w:r>
        <w:rPr>
          <w:noProof/>
        </w:rPr>
        <w:drawing>
          <wp:anchor distT="0" distB="0" distL="114300" distR="114300" simplePos="0" relativeHeight="251661312" behindDoc="0" locked="0" layoutInCell="1" allowOverlap="1" wp14:anchorId="1ED3BD9A">
            <wp:simplePos x="0" y="0"/>
            <wp:positionH relativeFrom="column">
              <wp:posOffset>3033286</wp:posOffset>
            </wp:positionH>
            <wp:positionV relativeFrom="paragraph">
              <wp:posOffset>0</wp:posOffset>
            </wp:positionV>
            <wp:extent cx="2955290" cy="1970405"/>
            <wp:effectExtent l="0" t="0" r="3810" b="0"/>
            <wp:wrapTopAndBottom/>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pic:cNvPicPr/>
                  </pic:nvPicPr>
                  <pic:blipFill>
                    <a:blip r:embed="rId7" cstate="screen">
                      <a:extLst>
                        <a:ext uri="{28A0092B-C50C-407E-A947-70E740481C1C}">
                          <a14:useLocalDpi xmlns:a14="http://schemas.microsoft.com/office/drawing/2010/main" val="0"/>
                        </a:ext>
                      </a:extLst>
                    </a:blip>
                    <a:stretch>
                      <a:fillRect/>
                    </a:stretch>
                  </pic:blipFill>
                  <pic:spPr>
                    <a:xfrm>
                      <a:off x="0" y="0"/>
                      <a:ext cx="2955290" cy="1970405"/>
                    </a:xfrm>
                    <a:prstGeom prst="rect">
                      <a:avLst/>
                    </a:prstGeom>
                  </pic:spPr>
                </pic:pic>
              </a:graphicData>
            </a:graphic>
            <wp14:sizeRelH relativeFrom="page">
              <wp14:pctWidth>0</wp14:pctWidth>
            </wp14:sizeRelH>
            <wp14:sizeRelV relativeFrom="page">
              <wp14:pctHeight>0</wp14:pctHeight>
            </wp14:sizeRelV>
          </wp:anchor>
        </w:drawing>
      </w:r>
      <w:r>
        <w:rPr>
          <w:rFonts w:ascii="Arial" w:hAnsi="Arial"/>
          <w:noProof/>
        </w:rPr>
        <w:drawing>
          <wp:anchor distT="0" distB="0" distL="114300" distR="114300" simplePos="0" relativeHeight="251662336" behindDoc="0" locked="0" layoutInCell="1" allowOverlap="1" wp14:anchorId="0C0A7B52">
            <wp:simplePos x="0" y="0"/>
            <wp:positionH relativeFrom="column">
              <wp:posOffset>0</wp:posOffset>
            </wp:positionH>
            <wp:positionV relativeFrom="paragraph">
              <wp:posOffset>635</wp:posOffset>
            </wp:positionV>
            <wp:extent cx="2954216" cy="1970001"/>
            <wp:effectExtent l="0" t="0" r="5080" b="0"/>
            <wp:wrapTopAndBottom/>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pic:cNvPicPr/>
                  </pic:nvPicPr>
                  <pic:blipFill>
                    <a:blip r:embed="rId8" cstate="screen">
                      <a:extLst>
                        <a:ext uri="{28A0092B-C50C-407E-A947-70E740481C1C}">
                          <a14:useLocalDpi xmlns:a14="http://schemas.microsoft.com/office/drawing/2010/main" val="0"/>
                        </a:ext>
                      </a:extLst>
                    </a:blip>
                    <a:stretch>
                      <a:fillRect/>
                    </a:stretch>
                  </pic:blipFill>
                  <pic:spPr>
                    <a:xfrm>
                      <a:off x="0" y="0"/>
                      <a:ext cx="2954216" cy="1970001"/>
                    </a:xfrm>
                    <a:prstGeom prst="rect">
                      <a:avLst/>
                    </a:prstGeom>
                  </pic:spPr>
                </pic:pic>
              </a:graphicData>
            </a:graphic>
            <wp14:sizeRelH relativeFrom="page">
              <wp14:pctWidth>0</wp14:pctWidth>
            </wp14:sizeRelH>
            <wp14:sizeRelV relativeFrom="page">
              <wp14:pctHeight>0</wp14:pctHeight>
            </wp14:sizeRelV>
          </wp:anchor>
        </w:drawing>
      </w:r>
      <w:r>
        <w:rPr>
          <w:rFonts w:ascii="Arial" w:hAnsi="Arial"/>
        </w:rPr>
        <w:t xml:space="preserve"> </w:t>
      </w:r>
    </w:p>
    <w:p w:rsidR="003F3E65" w:rsidRPr="0088727F" w:rsidRDefault="003F3E65" w:rsidP="003F3E65">
      <w:pPr>
        <w:rPr>
          <w:rFonts w:ascii="Arial" w:hAnsi="Arial" w:cs="Arial"/>
          <w:sz w:val="10"/>
          <w:szCs w:val="10"/>
        </w:rPr>
      </w:pPr>
    </w:p>
    <w:p w:rsidR="003F3E65" w:rsidRDefault="003F3E65" w:rsidP="003F3E65">
      <w:pPr>
        <w:rPr>
          <w:rFonts w:ascii="Arial" w:hAnsi="Arial" w:cs="Arial"/>
          <w:bCs/>
        </w:rPr>
      </w:pPr>
    </w:p>
    <w:p w:rsidR="003F3E65" w:rsidRPr="000E69E2" w:rsidRDefault="003F3E65" w:rsidP="003F3E65">
      <w:pPr>
        <w:rPr>
          <w:rFonts w:ascii="Arial" w:hAnsi="Arial" w:cs="Arial"/>
          <w:bCs/>
          <w:sz w:val="10"/>
          <w:szCs w:val="10"/>
        </w:rPr>
      </w:pPr>
    </w:p>
    <w:p w:rsidR="003F3E65" w:rsidRPr="002717B6" w:rsidRDefault="003F3E65" w:rsidP="003F3E65">
      <w:pPr>
        <w:rPr>
          <w:rFonts w:ascii="Arial" w:hAnsi="Arial" w:cs="Arial"/>
        </w:rPr>
      </w:pPr>
      <w:r>
        <w:rPr>
          <w:rFonts w:ascii="Arial" w:hAnsi="Arial"/>
        </w:rPr>
        <w:t>Photo : Iwan Baan</w:t>
      </w:r>
    </w:p>
    <w:p w:rsidR="003F3E65" w:rsidRPr="000E69E2" w:rsidRDefault="003F3E65" w:rsidP="003F3E65">
      <w:pPr>
        <w:rPr>
          <w:rFonts w:ascii="Arial" w:eastAsia="Times New Roman" w:hAnsi="Arial"/>
          <w:b/>
          <w:sz w:val="22"/>
          <w:szCs w:val="22"/>
        </w:rPr>
      </w:pPr>
    </w:p>
    <w:p w:rsidR="003F3E65" w:rsidRPr="000E69E2" w:rsidRDefault="003F3E65" w:rsidP="003F3E65">
      <w:pPr>
        <w:rPr>
          <w:rFonts w:ascii="Arial" w:eastAsia="Times New Roman" w:hAnsi="Arial"/>
          <w:b/>
          <w:sz w:val="22"/>
          <w:szCs w:val="22"/>
        </w:rPr>
      </w:pPr>
    </w:p>
    <w:p w:rsidR="003F3E65" w:rsidRPr="000E69E2" w:rsidRDefault="003F3E65" w:rsidP="003F3E65">
      <w:pPr>
        <w:rPr>
          <w:rFonts w:ascii="Arial" w:eastAsia="Times New Roman" w:hAnsi="Arial"/>
          <w:b/>
          <w:sz w:val="22"/>
          <w:szCs w:val="22"/>
        </w:rPr>
      </w:pPr>
    </w:p>
    <w:p w:rsidR="003F3E65" w:rsidRPr="000E69E2" w:rsidRDefault="003F3E65" w:rsidP="003F3E65">
      <w:pPr>
        <w:rPr>
          <w:rFonts w:ascii="Arial" w:eastAsia="Times New Roman" w:hAnsi="Arial"/>
          <w:b/>
          <w:sz w:val="22"/>
          <w:szCs w:val="22"/>
        </w:rPr>
      </w:pPr>
    </w:p>
    <w:p w:rsidR="003F3E65" w:rsidRDefault="003F3E65" w:rsidP="003F3E65">
      <w:pPr>
        <w:rPr>
          <w:rFonts w:ascii="Arial" w:hAnsi="Arial" w:cs="Arial"/>
          <w:b/>
          <w:sz w:val="22"/>
          <w:szCs w:val="22"/>
        </w:rPr>
      </w:pPr>
    </w:p>
    <w:p w:rsidR="003F3E65" w:rsidRPr="008C666E" w:rsidRDefault="003F3E65" w:rsidP="003F3E65">
      <w:pPr>
        <w:spacing w:line="360" w:lineRule="auto"/>
        <w:rPr>
          <w:rFonts w:ascii="Arial" w:hAnsi="Arial" w:cs="Arial"/>
          <w:sz w:val="22"/>
          <w:szCs w:val="22"/>
        </w:rPr>
      </w:pPr>
      <w:r>
        <w:rPr>
          <w:rFonts w:ascii="Arial" w:hAnsi="Arial"/>
          <w:b/>
          <w:sz w:val="22"/>
        </w:rPr>
        <w:t>Pour de plus amples informations :</w:t>
      </w:r>
    </w:p>
    <w:p w:rsidR="003F3E65" w:rsidRPr="002F5771" w:rsidRDefault="003F3E65" w:rsidP="003F3E65">
      <w:pPr>
        <w:rPr>
          <w:rFonts w:ascii="Arial" w:hAnsi="Arial"/>
          <w:sz w:val="22"/>
        </w:rPr>
      </w:pPr>
      <w:r w:rsidRPr="002F5771">
        <w:rPr>
          <w:rFonts w:ascii="Arial" w:hAnsi="Arial"/>
          <w:sz w:val="22"/>
        </w:rPr>
        <w:t>BGT Bischoff Glastechnik GmbH</w:t>
      </w:r>
    </w:p>
    <w:p w:rsidR="003F3E65" w:rsidRPr="002F5771" w:rsidRDefault="003F3E65" w:rsidP="003F3E65">
      <w:pPr>
        <w:rPr>
          <w:rFonts w:ascii="Arial" w:hAnsi="Arial"/>
          <w:sz w:val="22"/>
        </w:rPr>
      </w:pPr>
      <w:r w:rsidRPr="002F5771">
        <w:rPr>
          <w:rFonts w:ascii="Arial" w:hAnsi="Arial"/>
          <w:sz w:val="22"/>
        </w:rPr>
        <w:t xml:space="preserve">Alexanderstraße 2 | 75015 Bretten, </w:t>
      </w:r>
      <w:r>
        <w:rPr>
          <w:rFonts w:ascii="Arial" w:hAnsi="Arial"/>
          <w:sz w:val="22"/>
        </w:rPr>
        <w:t>Allemagne</w:t>
      </w:r>
    </w:p>
    <w:p w:rsidR="003F3E65" w:rsidRPr="002F5771" w:rsidRDefault="003F3E65" w:rsidP="003F3E65">
      <w:pPr>
        <w:rPr>
          <w:rFonts w:ascii="Arial" w:hAnsi="Arial"/>
          <w:sz w:val="22"/>
        </w:rPr>
      </w:pPr>
      <w:hyperlink r:id="rId9" w:history="1">
        <w:r w:rsidRPr="002F5771">
          <w:rPr>
            <w:rStyle w:val="Hyperlink"/>
            <w:rFonts w:ascii="Arial" w:hAnsi="Arial"/>
            <w:sz w:val="22"/>
          </w:rPr>
          <w:t>info@bgt.glass</w:t>
        </w:r>
      </w:hyperlink>
    </w:p>
    <w:p w:rsidR="003F3E65" w:rsidRPr="002F5771" w:rsidRDefault="003F3E65" w:rsidP="003F3E65">
      <w:pPr>
        <w:spacing w:line="360" w:lineRule="auto"/>
        <w:rPr>
          <w:rFonts w:ascii="Arial" w:hAnsi="Arial" w:cs="Arial"/>
          <w:b/>
        </w:rPr>
      </w:pPr>
    </w:p>
    <w:p w:rsidR="003F3E65" w:rsidRPr="008C666E" w:rsidRDefault="003F3E65" w:rsidP="003F3E65">
      <w:pPr>
        <w:spacing w:line="360" w:lineRule="auto"/>
        <w:rPr>
          <w:rFonts w:ascii="Arial" w:hAnsi="Arial" w:cs="Arial"/>
          <w:b/>
          <w:sz w:val="22"/>
          <w:szCs w:val="22"/>
        </w:rPr>
      </w:pPr>
      <w:r>
        <w:rPr>
          <w:rFonts w:ascii="Arial" w:hAnsi="Arial"/>
          <w:b/>
          <w:sz w:val="22"/>
        </w:rPr>
        <w:t>Pour toute question des médias :</w:t>
      </w:r>
    </w:p>
    <w:p w:rsidR="003F3E65" w:rsidRPr="001B74FA" w:rsidRDefault="003F3E65" w:rsidP="003F3E65">
      <w:pPr>
        <w:jc w:val="both"/>
        <w:rPr>
          <w:rFonts w:ascii="Arial" w:hAnsi="Arial" w:cs="Arial"/>
          <w:sz w:val="22"/>
          <w:szCs w:val="22"/>
        </w:rPr>
      </w:pPr>
      <w:r>
        <w:rPr>
          <w:rFonts w:ascii="Arial" w:hAnsi="Arial"/>
          <w:sz w:val="22"/>
        </w:rPr>
        <w:t xml:space="preserve">Kim Kaborda | Matthias Mai </w:t>
      </w:r>
    </w:p>
    <w:p w:rsidR="003F3E65" w:rsidRPr="001B74FA" w:rsidRDefault="003F3E65" w:rsidP="003F3E65">
      <w:pPr>
        <w:jc w:val="both"/>
        <w:rPr>
          <w:rFonts w:ascii="Arial" w:hAnsi="Arial" w:cs="Arial"/>
          <w:sz w:val="22"/>
          <w:szCs w:val="22"/>
        </w:rPr>
      </w:pPr>
      <w:r>
        <w:rPr>
          <w:rFonts w:ascii="Arial" w:hAnsi="Arial"/>
          <w:sz w:val="22"/>
        </w:rPr>
        <w:t>mai public relations GmbH</w:t>
      </w:r>
    </w:p>
    <w:p w:rsidR="003F3E65" w:rsidRPr="008C666E" w:rsidRDefault="003F3E65" w:rsidP="003F3E65">
      <w:pPr>
        <w:jc w:val="both"/>
        <w:rPr>
          <w:rFonts w:ascii="Arial" w:hAnsi="Arial" w:cs="Arial"/>
          <w:sz w:val="22"/>
          <w:szCs w:val="22"/>
        </w:rPr>
      </w:pPr>
      <w:r>
        <w:rPr>
          <w:rFonts w:ascii="Arial" w:hAnsi="Arial"/>
          <w:sz w:val="22"/>
        </w:rPr>
        <w:t>Leuschnerdamm 13 | 10999 Berlin, Allemagne</w:t>
      </w:r>
    </w:p>
    <w:p w:rsidR="003F3E65" w:rsidRDefault="003F3E65" w:rsidP="003F3E65">
      <w:pPr>
        <w:jc w:val="both"/>
        <w:rPr>
          <w:rFonts w:ascii="Arial" w:hAnsi="Arial" w:cs="Arial"/>
          <w:sz w:val="22"/>
          <w:szCs w:val="22"/>
        </w:rPr>
      </w:pPr>
      <w:r>
        <w:rPr>
          <w:rFonts w:ascii="Arial" w:hAnsi="Arial"/>
          <w:sz w:val="22"/>
        </w:rPr>
        <w:t xml:space="preserve">Tél. +49 (0)30 66 40 40 557  </w:t>
      </w:r>
    </w:p>
    <w:p w:rsidR="003F3E65" w:rsidRPr="00B04284" w:rsidRDefault="003F3E65" w:rsidP="003F3E65">
      <w:pPr>
        <w:jc w:val="both"/>
        <w:rPr>
          <w:rFonts w:ascii="Arial" w:hAnsi="Arial" w:cs="Arial"/>
          <w:sz w:val="22"/>
          <w:szCs w:val="22"/>
        </w:rPr>
      </w:pPr>
      <w:hyperlink r:id="rId10" w:history="1">
        <w:r w:rsidRPr="00FD58A2">
          <w:rPr>
            <w:rStyle w:val="Hyperlink"/>
            <w:rFonts w:ascii="Arial" w:hAnsi="Arial"/>
            <w:sz w:val="22"/>
          </w:rPr>
          <w:t>bgt@maipr.com</w:t>
        </w:r>
      </w:hyperlink>
    </w:p>
    <w:p w:rsidR="003F3E65" w:rsidRPr="00563362" w:rsidRDefault="003F3E65" w:rsidP="003F3E65">
      <w:pPr>
        <w:rPr>
          <w:rFonts w:ascii="Arial" w:hAnsi="Arial" w:cs="Arial"/>
          <w:sz w:val="22"/>
          <w:szCs w:val="22"/>
        </w:rPr>
      </w:pPr>
    </w:p>
    <w:p w:rsidR="003F3E65" w:rsidRDefault="003F3E65" w:rsidP="003F3E65"/>
    <w:p w:rsidR="00430CC9" w:rsidRPr="003F3E65" w:rsidRDefault="00430CC9" w:rsidP="003F3E65"/>
    <w:sectPr w:rsidR="00430CC9" w:rsidRPr="003F3E65" w:rsidSect="008B0198">
      <w:headerReference w:type="default" r:id="rId11"/>
      <w:pgSz w:w="11906" w:h="16838"/>
      <w:pgMar w:top="1417" w:right="1417" w:bottom="1134" w:left="1417" w:header="2268"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2F6381" w:rsidRDefault="002F6381" w:rsidP="008B0198">
      <w:r>
        <w:separator/>
      </w:r>
    </w:p>
  </w:endnote>
  <w:endnote w:type="continuationSeparator" w:id="0">
    <w:p w:rsidR="002F6381" w:rsidRDefault="002F6381" w:rsidP="008B01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vant Garde">
    <w:altName w:val="Century Gothic"/>
    <w:panose1 w:val="020B0604020202020204"/>
    <w:charset w:val="00"/>
    <w:family w:val="auto"/>
    <w:pitch w:val="variable"/>
    <w:sig w:usb0="03000000"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2F6381" w:rsidRDefault="002F6381" w:rsidP="008B0198">
      <w:r>
        <w:separator/>
      </w:r>
    </w:p>
  </w:footnote>
  <w:footnote w:type="continuationSeparator" w:id="0">
    <w:p w:rsidR="002F6381" w:rsidRDefault="002F6381" w:rsidP="008B019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B0198" w:rsidRDefault="008B0198">
    <w:pPr>
      <w:pStyle w:val="Kopfzeile"/>
    </w:pPr>
    <w:r>
      <w:rPr>
        <w:noProof/>
      </w:rPr>
      <w:drawing>
        <wp:anchor distT="0" distB="0" distL="114300" distR="114300" simplePos="0" relativeHeight="251659264" behindDoc="0" locked="0" layoutInCell="1" allowOverlap="1" wp14:anchorId="371EF75D" wp14:editId="3A048872">
          <wp:simplePos x="0" y="0"/>
          <wp:positionH relativeFrom="column">
            <wp:posOffset>4745355</wp:posOffset>
          </wp:positionH>
          <wp:positionV relativeFrom="paragraph">
            <wp:posOffset>-1135380</wp:posOffset>
          </wp:positionV>
          <wp:extent cx="1501200" cy="1051200"/>
          <wp:effectExtent l="0" t="0" r="0" b="3175"/>
          <wp:wrapThrough wrapText="bothSides">
            <wp:wrapPolygon edited="0">
              <wp:start x="12426" y="0"/>
              <wp:lineTo x="7858" y="4176"/>
              <wp:lineTo x="2924" y="4960"/>
              <wp:lineTo x="2376" y="5221"/>
              <wp:lineTo x="2376" y="8353"/>
              <wp:lineTo x="0" y="11224"/>
              <wp:lineTo x="0" y="12007"/>
              <wp:lineTo x="365" y="13312"/>
              <wp:lineTo x="3289" y="16706"/>
              <wp:lineTo x="4020" y="16706"/>
              <wp:lineTo x="8223" y="21404"/>
              <wp:lineTo x="9320" y="21404"/>
              <wp:lineTo x="14619" y="16706"/>
              <wp:lineTo x="18640" y="16706"/>
              <wp:lineTo x="19919" y="15662"/>
              <wp:lineTo x="19736" y="12529"/>
              <wp:lineTo x="21381" y="12268"/>
              <wp:lineTo x="21381" y="4960"/>
              <wp:lineTo x="17360" y="4176"/>
              <wp:lineTo x="13706" y="0"/>
              <wp:lineTo x="12426" y="0"/>
            </wp:wrapPolygon>
          </wp:wrapThrough>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501200" cy="1051200"/>
                  </a:xfrm>
                  <a:prstGeom prst="rect">
                    <a:avLst/>
                  </a:prstGeom>
                  <a:noFill/>
                </pic:spPr>
              </pic:pic>
            </a:graphicData>
          </a:graphic>
          <wp14:sizeRelH relativeFrom="margin">
            <wp14:pctWidth>0</wp14:pctWidth>
          </wp14:sizeRelH>
          <wp14:sizeRelV relativeFrom="margin">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0198"/>
    <w:rsid w:val="001C482A"/>
    <w:rsid w:val="00245C76"/>
    <w:rsid w:val="002F6381"/>
    <w:rsid w:val="003424B9"/>
    <w:rsid w:val="003F3E65"/>
    <w:rsid w:val="00430CC9"/>
    <w:rsid w:val="00791564"/>
    <w:rsid w:val="008B0198"/>
    <w:rsid w:val="00AE189D"/>
    <w:rsid w:val="00EC783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648D887-DA12-754E-AE5D-CF3C6784D4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de-DE"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B0198"/>
    <w:rPr>
      <w:rFonts w:ascii="Avant Garde" w:eastAsia="MS Mincho" w:hAnsi="Avant Garde" w:cs="Times New Roman"/>
      <w:kern w:val="0"/>
      <w:sz w:val="20"/>
      <w:szCs w:val="20"/>
      <w:lang w:eastAsia="de-DE"/>
      <w14:ligatures w14:val="none"/>
    </w:rPr>
  </w:style>
  <w:style w:type="paragraph" w:styleId="berschrift2">
    <w:name w:val="heading 2"/>
    <w:basedOn w:val="Standard"/>
    <w:next w:val="Standard"/>
    <w:link w:val="berschrift2Zchn"/>
    <w:qFormat/>
    <w:rsid w:val="008B0198"/>
    <w:pPr>
      <w:keepNext/>
      <w:spacing w:line="360" w:lineRule="auto"/>
      <w:outlineLvl w:val="1"/>
    </w:pPr>
    <w:rPr>
      <w:rFonts w:ascii="Arial" w:hAnsi="Arial"/>
      <w:b/>
      <w:sz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B0198"/>
    <w:pPr>
      <w:tabs>
        <w:tab w:val="center" w:pos="4536"/>
        <w:tab w:val="right" w:pos="9072"/>
      </w:tabs>
    </w:pPr>
    <w:rPr>
      <w:rFonts w:asciiTheme="minorHAnsi" w:eastAsiaTheme="minorHAnsi" w:hAnsiTheme="minorHAnsi" w:cstheme="minorBidi"/>
      <w:kern w:val="2"/>
      <w:sz w:val="24"/>
      <w:szCs w:val="24"/>
      <w:lang w:eastAsia="en-US"/>
      <w14:ligatures w14:val="standardContextual"/>
    </w:rPr>
  </w:style>
  <w:style w:type="character" w:customStyle="1" w:styleId="KopfzeileZchn">
    <w:name w:val="Kopfzeile Zchn"/>
    <w:basedOn w:val="Absatz-Standardschriftart"/>
    <w:link w:val="Kopfzeile"/>
    <w:uiPriority w:val="99"/>
    <w:rsid w:val="008B0198"/>
  </w:style>
  <w:style w:type="paragraph" w:styleId="Fuzeile">
    <w:name w:val="footer"/>
    <w:basedOn w:val="Standard"/>
    <w:link w:val="FuzeileZchn"/>
    <w:uiPriority w:val="99"/>
    <w:unhideWhenUsed/>
    <w:rsid w:val="008B0198"/>
    <w:pPr>
      <w:tabs>
        <w:tab w:val="center" w:pos="4536"/>
        <w:tab w:val="right" w:pos="9072"/>
      </w:tabs>
    </w:pPr>
    <w:rPr>
      <w:rFonts w:asciiTheme="minorHAnsi" w:eastAsiaTheme="minorHAnsi" w:hAnsiTheme="minorHAnsi" w:cstheme="minorBidi"/>
      <w:kern w:val="2"/>
      <w:sz w:val="24"/>
      <w:szCs w:val="24"/>
      <w:lang w:eastAsia="en-US"/>
      <w14:ligatures w14:val="standardContextual"/>
    </w:rPr>
  </w:style>
  <w:style w:type="character" w:customStyle="1" w:styleId="FuzeileZchn">
    <w:name w:val="Fußzeile Zchn"/>
    <w:basedOn w:val="Absatz-Standardschriftart"/>
    <w:link w:val="Fuzeile"/>
    <w:uiPriority w:val="99"/>
    <w:rsid w:val="008B0198"/>
  </w:style>
  <w:style w:type="character" w:customStyle="1" w:styleId="berschrift2Zchn">
    <w:name w:val="Überschrift 2 Zchn"/>
    <w:basedOn w:val="Absatz-Standardschriftart"/>
    <w:link w:val="berschrift2"/>
    <w:rsid w:val="008B0198"/>
    <w:rPr>
      <w:rFonts w:ascii="Arial" w:eastAsia="MS Mincho" w:hAnsi="Arial" w:cs="Times New Roman"/>
      <w:b/>
      <w:kern w:val="0"/>
      <w:sz w:val="32"/>
      <w:szCs w:val="20"/>
      <w:lang w:eastAsia="de-DE"/>
      <w14:ligatures w14:val="none"/>
    </w:rPr>
  </w:style>
  <w:style w:type="character" w:styleId="Hyperlink">
    <w:name w:val="Hyperlink"/>
    <w:rsid w:val="008B019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hyperlink" Target="mailto:bgt@maipr.com" TargetMode="External"/><Relationship Id="rId4" Type="http://schemas.openxmlformats.org/officeDocument/2006/relationships/footnotes" Target="footnotes.xml"/><Relationship Id="rId9" Type="http://schemas.openxmlformats.org/officeDocument/2006/relationships/hyperlink" Target="mailto:info@bgt.glas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810</Words>
  <Characters>5108</Characters>
  <Application>Microsoft Office Word</Application>
  <DocSecurity>0</DocSecurity>
  <Lines>42</Lines>
  <Paragraphs>11</Paragraphs>
  <ScaleCrop>false</ScaleCrop>
  <Company/>
  <LinksUpToDate>false</LinksUpToDate>
  <CharactersWithSpaces>5907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Kim Kaborda</dc:creator>
  <cp:keywords/>
  <dc:description/>
  <cp:lastModifiedBy>Kim Kaborda</cp:lastModifiedBy>
  <cp:revision>4</cp:revision>
  <dcterms:created xsi:type="dcterms:W3CDTF">2023-05-24T06:48:00Z</dcterms:created>
  <dcterms:modified xsi:type="dcterms:W3CDTF">2023-05-24T07:25:00Z</dcterms:modified>
</cp:coreProperties>
</file>