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95EE6" w14:textId="77777777" w:rsidR="00194DD4" w:rsidRDefault="00194DD4" w:rsidP="00B71883">
      <w:pPr>
        <w:spacing w:line="360" w:lineRule="auto"/>
        <w:rPr>
          <w:rFonts w:ascii="Arial" w:hAnsi="Arial" w:cs="Arial"/>
          <w:b/>
          <w:bCs/>
          <w:color w:val="000000" w:themeColor="text1"/>
          <w:sz w:val="22"/>
          <w:szCs w:val="22"/>
          <w:lang w:val="fr-FR"/>
        </w:rPr>
      </w:pPr>
      <w:r w:rsidRPr="00194DD4">
        <w:rPr>
          <w:rFonts w:ascii="Arial" w:hAnsi="Arial" w:cs="Arial"/>
          <w:b/>
          <w:bCs/>
          <w:color w:val="000000" w:themeColor="text1"/>
          <w:sz w:val="22"/>
          <w:szCs w:val="22"/>
          <w:lang w:val="fr-FR"/>
        </w:rPr>
        <w:t>L’influence narrative de la lumière dans les espaces publics</w:t>
      </w:r>
    </w:p>
    <w:p w14:paraId="0B3D6720" w14:textId="76BFEC07" w:rsidR="00B71883" w:rsidRDefault="00194DD4" w:rsidP="00B71883">
      <w:pPr>
        <w:spacing w:line="360" w:lineRule="auto"/>
        <w:rPr>
          <w:rFonts w:ascii="Arial" w:hAnsi="Arial" w:cs="Arial"/>
          <w:sz w:val="22"/>
          <w:szCs w:val="22"/>
          <w:lang w:val="fr-FR"/>
        </w:rPr>
      </w:pPr>
      <w:r w:rsidRPr="00194DD4">
        <w:rPr>
          <w:rFonts w:ascii="Arial" w:hAnsi="Arial" w:cs="Arial"/>
          <w:sz w:val="22"/>
          <w:szCs w:val="22"/>
          <w:lang w:val="fr-FR"/>
        </w:rPr>
        <w:t>Place Parramatta de Sydney : la manière dont la lumière s’intègre à une vision architecturale et aux normes de durabilité rigoureuses</w:t>
      </w:r>
    </w:p>
    <w:p w14:paraId="47C125AF" w14:textId="77777777" w:rsidR="00B71883" w:rsidRPr="006041AF" w:rsidRDefault="00B71883" w:rsidP="00B71883">
      <w:pPr>
        <w:spacing w:line="360" w:lineRule="auto"/>
        <w:rPr>
          <w:rFonts w:ascii="Arial" w:hAnsi="Arial" w:cs="Arial"/>
          <w:b/>
          <w:bCs/>
          <w:sz w:val="22"/>
          <w:szCs w:val="22"/>
          <w:lang w:val="fr-FR"/>
        </w:rPr>
      </w:pPr>
    </w:p>
    <w:p w14:paraId="7838242D"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La Place Parramatta, développée par Walker Corporation, est l’un des projets de rénovation urbaine australien les plus ambitieux, visant à transformer le plus grand centre urbain à l’ouest de Sydney en un pôle commercial, culturel et administratif dynamique. Situé au cœur du Grand Sydney, ce projet de réaménagement de 3,2 milliards de dollars englobe environ 300 000 mètres carrés d’espaces commerciaux, de vente au détail et administratifs. Le projet s’étend sur six hectares et comprend des tours commerciales, des espaces publics et des bâtiments administratifs. </w:t>
      </w:r>
    </w:p>
    <w:p w14:paraId="2E84F7E6" w14:textId="77777777" w:rsidR="00194DD4" w:rsidRPr="00194DD4" w:rsidRDefault="00194DD4" w:rsidP="00194DD4">
      <w:pPr>
        <w:spacing w:line="360" w:lineRule="auto"/>
        <w:rPr>
          <w:rFonts w:ascii="Arial" w:hAnsi="Arial" w:cs="Arial"/>
          <w:sz w:val="22"/>
          <w:szCs w:val="22"/>
          <w:lang w:val="fr-FR"/>
        </w:rPr>
      </w:pPr>
    </w:p>
    <w:p w14:paraId="1CD0B974"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Le cabinet d’architecture JPW, basé à Sydney, remporta en 2013 un concours international d’architecture pour la première phase du projet d’aménagement du quartier. Mathew Howard, directeur de projet chez JPW, dirigera au cours de la décennie suivante la collaboration de l’entreprise avec le conseil municipal de Parramatta et Walker Corporation afin de peaufiner et de mettre en œuvre le plan directeur du quartier, intégrant les infrastructures de transport public, les espaces publics, les bâtiments administratifs et les lieux de travail afin de redéfinir le cœur administratif du Grand Sydney.</w:t>
      </w:r>
    </w:p>
    <w:p w14:paraId="2D474737" w14:textId="77777777" w:rsidR="00194DD4" w:rsidRPr="00194DD4" w:rsidRDefault="00194DD4" w:rsidP="00194DD4">
      <w:pPr>
        <w:spacing w:line="360" w:lineRule="auto"/>
        <w:rPr>
          <w:rFonts w:ascii="Arial" w:hAnsi="Arial" w:cs="Arial"/>
          <w:sz w:val="22"/>
          <w:szCs w:val="22"/>
          <w:lang w:val="fr-FR"/>
        </w:rPr>
      </w:pPr>
    </w:p>
    <w:p w14:paraId="35CA24AE"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La mise en œuvre d’un concept d’éclairage allant au-delà de la simple illumination a joué un rôle clé dans la réalisation de la vision architecturale – cela a contribué à définir l’identité du quartier. Michel Goupy, directeur de LightStudioMG, nous précisa que la mission de son entreprise ne se limitait pas à l’éclairage fonctionnel : elle consistait à traduire le récit architectural en un langage lumineux et à concevoir un design approprié : </w:t>
      </w:r>
    </w:p>
    <w:p w14:paraId="149F7668" w14:textId="77777777" w:rsidR="00194DD4" w:rsidRDefault="00194DD4" w:rsidP="00194DD4">
      <w:pPr>
        <w:spacing w:line="360" w:lineRule="auto"/>
        <w:rPr>
          <w:rFonts w:ascii="Arial" w:hAnsi="Arial" w:cs="Arial"/>
          <w:sz w:val="22"/>
          <w:szCs w:val="22"/>
          <w:lang w:val="fr-FR"/>
        </w:rPr>
      </w:pPr>
    </w:p>
    <w:p w14:paraId="1BB30A17" w14:textId="77777777" w:rsidR="00194DD4" w:rsidRPr="00194DD4" w:rsidRDefault="00194DD4" w:rsidP="00194DD4">
      <w:pPr>
        <w:spacing w:line="360" w:lineRule="auto"/>
        <w:ind w:left="426"/>
        <w:rPr>
          <w:rFonts w:ascii="Arial" w:hAnsi="Arial" w:cs="Arial"/>
          <w:b/>
          <w:bCs/>
          <w:sz w:val="22"/>
          <w:szCs w:val="22"/>
          <w:lang w:val="fr-FR"/>
        </w:rPr>
      </w:pPr>
      <w:r w:rsidRPr="00194DD4">
        <w:rPr>
          <w:rFonts w:ascii="Arial" w:hAnsi="Arial" w:cs="Arial"/>
          <w:b/>
          <w:bCs/>
          <w:sz w:val="22"/>
          <w:szCs w:val="22"/>
          <w:lang w:val="fr-FR"/>
        </w:rPr>
        <w:t xml:space="preserve">« Efficace de jour comme de nuit, l’éclairage devait créer une hiérarchie visuelle, un éclairement vertical, une perception de </w:t>
      </w:r>
      <w:r w:rsidRPr="00194DD4">
        <w:rPr>
          <w:rFonts w:ascii="Arial" w:hAnsi="Arial" w:cs="Arial"/>
          <w:b/>
          <w:bCs/>
          <w:sz w:val="22"/>
          <w:szCs w:val="22"/>
          <w:lang w:val="fr-FR"/>
        </w:rPr>
        <w:lastRenderedPageBreak/>
        <w:t xml:space="preserve">la luminosité et mettre en évidence les ouvrages d’art publics. » </w:t>
      </w:r>
    </w:p>
    <w:p w14:paraId="3E42B116" w14:textId="77777777" w:rsidR="00194DD4" w:rsidRDefault="00194DD4" w:rsidP="00194DD4">
      <w:pPr>
        <w:spacing w:line="360" w:lineRule="auto"/>
        <w:rPr>
          <w:rFonts w:ascii="Arial" w:hAnsi="Arial" w:cs="Arial"/>
          <w:sz w:val="22"/>
          <w:szCs w:val="22"/>
          <w:lang w:val="fr-FR"/>
        </w:rPr>
      </w:pPr>
    </w:p>
    <w:p w14:paraId="0E674839" w14:textId="3E96E7AD"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L’objectif n’était pas purement technique. La conception de l’éclairage a été imaginée pour créer une atmosphère particulière – guider les personnes à travers ce vaste quartier tout en soulignant son caractère propre et en rendant son agencement complexe intuitivement identifiable.</w:t>
      </w:r>
    </w:p>
    <w:p w14:paraId="2B4A6536" w14:textId="77777777" w:rsidR="00194DD4" w:rsidRPr="00194DD4" w:rsidRDefault="00194DD4" w:rsidP="00194DD4">
      <w:pPr>
        <w:spacing w:line="360" w:lineRule="auto"/>
        <w:rPr>
          <w:rFonts w:ascii="Arial" w:hAnsi="Arial" w:cs="Arial"/>
          <w:b/>
          <w:bCs/>
          <w:sz w:val="22"/>
          <w:szCs w:val="22"/>
          <w:lang w:val="fr-FR"/>
        </w:rPr>
      </w:pPr>
    </w:p>
    <w:p w14:paraId="4F2D1A32"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La lueur de l’intérieur : l</w:t>
      </w:r>
      <w:proofErr w:type="gramStart"/>
      <w:r w:rsidRPr="00194DD4">
        <w:rPr>
          <w:rFonts w:ascii="Arial" w:hAnsi="Arial" w:cs="Arial"/>
          <w:b/>
          <w:bCs/>
          <w:sz w:val="22"/>
          <w:szCs w:val="22"/>
          <w:lang w:val="fr-FR"/>
        </w:rPr>
        <w:t>’«</w:t>
      </w:r>
      <w:proofErr w:type="gramEnd"/>
      <w:r w:rsidRPr="00194DD4">
        <w:rPr>
          <w:rFonts w:ascii="Arial" w:hAnsi="Arial" w:cs="Arial"/>
          <w:b/>
          <w:bCs/>
          <w:sz w:val="22"/>
          <w:szCs w:val="22"/>
          <w:lang w:val="fr-FR"/>
        </w:rPr>
        <w:t xml:space="preserve"> effet lanterne »</w:t>
      </w:r>
    </w:p>
    <w:p w14:paraId="1052DFE3" w14:textId="77777777"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4, 6 &amp; 8 Parramatta Square sont les principales tours de bureaux qui définissent la limite sud du domaine public de la Place Parramatta. Elles abritent une superficie totale de plus de 200 000 mètres carrés d’espaces de bureaux de haut standing, situés au-dessus de plusieurs halls d’accueil à l’échelle urbaine et de tiers-espaces qui relient et interagissent avec le domaine public. La conception de l’éclairage de chacun de ces espaces a été planifiée pour satisfaire aux exigences d’éclairement de base, avec des niveaux de lux améliorés dans les halls d’ascenseurs, sur les œuvres d’art, le mobilier et les zones d’accueil afin de créer des points d’intérêt et d’offrir un impact visuel. </w:t>
      </w:r>
    </w:p>
    <w:p w14:paraId="4B8D73F9" w14:textId="77777777" w:rsidR="00194DD4" w:rsidRDefault="00194DD4" w:rsidP="00194DD4">
      <w:pPr>
        <w:spacing w:line="360" w:lineRule="auto"/>
        <w:rPr>
          <w:rFonts w:ascii="Arial" w:hAnsi="Arial" w:cs="Arial"/>
          <w:sz w:val="22"/>
          <w:szCs w:val="22"/>
          <w:lang w:val="fr-FR"/>
        </w:rPr>
      </w:pPr>
    </w:p>
    <w:p w14:paraId="5663B445" w14:textId="25E133D0"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Dans chaque hall d’entrée se dressent de hauts murs en travertin. Le travertin est une roche calcaire naturelle formée par des dépôts minéraux provenant de sources chaudes, réputée pour ses tons chauds et sa texture poreuse. Elle est utilisée en architecture depuis l’Antiquité et confère aux espaces contemporains une élégance intemporelle et une authenticité matérielle.</w:t>
      </w:r>
    </w:p>
    <w:p w14:paraId="7ECDFC63" w14:textId="77777777" w:rsidR="00194DD4" w:rsidRPr="00194DD4" w:rsidRDefault="00194DD4" w:rsidP="00194DD4">
      <w:pPr>
        <w:spacing w:line="360" w:lineRule="auto"/>
        <w:rPr>
          <w:rFonts w:ascii="Arial" w:hAnsi="Arial" w:cs="Arial"/>
          <w:sz w:val="22"/>
          <w:szCs w:val="22"/>
          <w:lang w:val="fr-FR"/>
        </w:rPr>
      </w:pPr>
    </w:p>
    <w:p w14:paraId="4A07ACBB" w14:textId="77777777"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La qualité de ce matériau offrait la possibilité de mettre en valeur un effet dit de « lanterne » issu du domaine public. Cet effet s’apparente à l’impression visuelle de murs intérieurs diffusant une douce lumière, à l’instar d’une lanterne. La lumière, en interagissant avec le travertin pâle et texturé, crée un doux rayonnement ascendant visible depuis l’extérieur. Cela confère chaleur et présence, transformant les halls d’entrée en espaces accueillants au sein du quartier.</w:t>
      </w:r>
    </w:p>
    <w:p w14:paraId="4DEAE5DB" w14:textId="77777777" w:rsidR="00194DD4" w:rsidRDefault="00194DD4" w:rsidP="00194DD4">
      <w:pPr>
        <w:spacing w:line="360" w:lineRule="auto"/>
        <w:ind w:left="426"/>
        <w:rPr>
          <w:rFonts w:ascii="Arial" w:hAnsi="Arial" w:cs="Arial"/>
          <w:sz w:val="22"/>
          <w:szCs w:val="22"/>
          <w:lang w:val="fr-FR"/>
        </w:rPr>
      </w:pPr>
      <w:r w:rsidRPr="00194DD4">
        <w:rPr>
          <w:rFonts w:ascii="Arial" w:hAnsi="Arial" w:cs="Arial"/>
          <w:sz w:val="22"/>
          <w:szCs w:val="22"/>
          <w:lang w:val="fr-FR"/>
        </w:rPr>
        <w:lastRenderedPageBreak/>
        <w:t xml:space="preserve"> </w:t>
      </w:r>
      <w:r w:rsidRPr="00194DD4">
        <w:rPr>
          <w:rFonts w:ascii="Arial" w:hAnsi="Arial" w:cs="Arial"/>
          <w:b/>
          <w:bCs/>
          <w:sz w:val="22"/>
          <w:szCs w:val="22"/>
          <w:lang w:val="fr-FR"/>
        </w:rPr>
        <w:t>« Pour éclairer efficacement ces murs de 15 mètres de haut, notre approche a consisté à éclairer uniformément la moitié supérieure à l’aide de projecteurs à faisceau mural, complétés par des luminaires orientables visant la partie inférieure »</w:t>
      </w:r>
      <w:r w:rsidRPr="00194DD4">
        <w:rPr>
          <w:rFonts w:ascii="Arial" w:hAnsi="Arial" w:cs="Arial"/>
          <w:sz w:val="22"/>
          <w:szCs w:val="22"/>
          <w:lang w:val="fr-FR"/>
        </w:rPr>
        <w:t xml:space="preserve">, explique M. Goupy. </w:t>
      </w:r>
    </w:p>
    <w:p w14:paraId="34ED4E3A" w14:textId="77777777" w:rsidR="00194DD4" w:rsidRDefault="00194DD4" w:rsidP="00194DD4">
      <w:pPr>
        <w:spacing w:line="360" w:lineRule="auto"/>
        <w:rPr>
          <w:rFonts w:ascii="Arial" w:hAnsi="Arial" w:cs="Arial"/>
          <w:sz w:val="22"/>
          <w:szCs w:val="22"/>
          <w:lang w:val="fr-FR"/>
        </w:rPr>
      </w:pPr>
    </w:p>
    <w:p w14:paraId="237A70D4" w14:textId="4780D80D"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résultat est saisissant. </w:t>
      </w:r>
    </w:p>
    <w:p w14:paraId="3A7C435C" w14:textId="77777777" w:rsidR="00194DD4" w:rsidRPr="00194DD4" w:rsidRDefault="00194DD4" w:rsidP="00194DD4">
      <w:pPr>
        <w:spacing w:line="360" w:lineRule="auto"/>
        <w:rPr>
          <w:rFonts w:ascii="Arial" w:hAnsi="Arial" w:cs="Arial"/>
          <w:sz w:val="22"/>
          <w:szCs w:val="22"/>
          <w:lang w:val="fr-FR"/>
        </w:rPr>
      </w:pPr>
    </w:p>
    <w:p w14:paraId="68AC049C" w14:textId="77777777"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Mettre l’art en relief par la lumière : créer des repères et une identité dans l’espace </w:t>
      </w:r>
    </w:p>
    <w:p w14:paraId="5BFA311D"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Les éléments distinctifs de chaque espace facilitent l’orientation et créent des repères visuels. Des œuvres d’art remarquables ont été disposées dans chaque hall, depuis des tableaux et des tapisseries accrochés aux murs jusqu’à une réplique du « Rose Hill Packet », le premier bateau européen construit en Australie, suspendu dans le hall du 6 Parramatta Square. Cela confère une identité aux espaces. L’éclairage d’œuvres d’art de grande taille dans de vastes espaces représente un défi particulier : assurer une diffusion homogène de la lumière, créer des ombres là où cela est nécessaire et minimiser l’éblouissement pour les personnes traversant l’espace dans différentes directions. </w:t>
      </w:r>
    </w:p>
    <w:p w14:paraId="7EF0032B" w14:textId="77777777" w:rsidR="00194DD4" w:rsidRDefault="00194DD4" w:rsidP="00194DD4">
      <w:pPr>
        <w:spacing w:line="360" w:lineRule="auto"/>
        <w:rPr>
          <w:rFonts w:ascii="Arial" w:hAnsi="Arial" w:cs="Arial"/>
          <w:sz w:val="22"/>
          <w:szCs w:val="22"/>
          <w:lang w:val="fr-FR"/>
        </w:rPr>
      </w:pPr>
    </w:p>
    <w:p w14:paraId="6AB21A98" w14:textId="77777777" w:rsidR="00194DD4" w:rsidRDefault="00194DD4" w:rsidP="00194DD4">
      <w:pPr>
        <w:spacing w:line="360" w:lineRule="auto"/>
        <w:ind w:left="426"/>
        <w:rPr>
          <w:rFonts w:ascii="Arial" w:hAnsi="Arial" w:cs="Arial"/>
          <w:sz w:val="22"/>
          <w:szCs w:val="22"/>
          <w:lang w:val="fr-FR"/>
        </w:rPr>
      </w:pPr>
      <w:r w:rsidRPr="00194DD4">
        <w:rPr>
          <w:rFonts w:ascii="Arial" w:hAnsi="Arial" w:cs="Arial"/>
          <w:b/>
          <w:bCs/>
          <w:sz w:val="22"/>
          <w:szCs w:val="22"/>
          <w:lang w:val="fr-FR"/>
        </w:rPr>
        <w:t>« Une intensité lumineuse élevée sur les œuvres d’art leur permet de se détacher de l’éclairement ambiant »</w:t>
      </w:r>
      <w:r w:rsidRPr="00194DD4">
        <w:rPr>
          <w:rFonts w:ascii="Arial" w:hAnsi="Arial" w:cs="Arial"/>
          <w:sz w:val="22"/>
          <w:szCs w:val="22"/>
          <w:lang w:val="fr-FR"/>
        </w:rPr>
        <w:t xml:space="preserve">, explique M. Goupy. </w:t>
      </w:r>
    </w:p>
    <w:p w14:paraId="6C8CB9FC" w14:textId="77777777" w:rsidR="00194DD4" w:rsidRDefault="00194DD4" w:rsidP="00194DD4">
      <w:pPr>
        <w:spacing w:line="360" w:lineRule="auto"/>
        <w:rPr>
          <w:rFonts w:ascii="Arial" w:hAnsi="Arial" w:cs="Arial"/>
          <w:sz w:val="22"/>
          <w:szCs w:val="22"/>
          <w:lang w:val="fr-FR"/>
        </w:rPr>
      </w:pPr>
    </w:p>
    <w:p w14:paraId="2A39BF72" w14:textId="07562213"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Ce résultat a été obtenu en utilisant des luminaires des gammes </w:t>
      </w:r>
      <w:hyperlink r:id="rId6" w:history="1">
        <w:r w:rsidRPr="00194DD4">
          <w:rPr>
            <w:rStyle w:val="Hyperlink"/>
            <w:rFonts w:ascii="Arial" w:hAnsi="Arial" w:cs="Arial"/>
            <w:sz w:val="22"/>
            <w:szCs w:val="22"/>
            <w:lang w:val="fr-FR"/>
          </w:rPr>
          <w:t>Quintessence</w:t>
        </w:r>
      </w:hyperlink>
      <w:r w:rsidRPr="00194DD4">
        <w:rPr>
          <w:rFonts w:ascii="Arial" w:hAnsi="Arial" w:cs="Arial"/>
          <w:sz w:val="22"/>
          <w:szCs w:val="22"/>
          <w:lang w:val="fr-FR"/>
        </w:rPr>
        <w:t xml:space="preserve"> et </w:t>
      </w:r>
      <w:hyperlink r:id="rId7" w:history="1">
        <w:r w:rsidRPr="0040759C">
          <w:rPr>
            <w:rStyle w:val="Hyperlink"/>
            <w:rFonts w:ascii="Arial" w:hAnsi="Arial" w:cs="Arial"/>
            <w:sz w:val="22"/>
            <w:szCs w:val="22"/>
            <w:lang w:val="fr-FR"/>
          </w:rPr>
          <w:t>Atrium</w:t>
        </w:r>
      </w:hyperlink>
      <w:r w:rsidRPr="00194DD4">
        <w:rPr>
          <w:rFonts w:ascii="Arial" w:hAnsi="Arial" w:cs="Arial"/>
          <w:sz w:val="22"/>
          <w:szCs w:val="22"/>
          <w:lang w:val="fr-FR"/>
        </w:rPr>
        <w:t xml:space="preserve"> (downlights et projecteurs à faisceau mural) ainsi que des projecteurs </w:t>
      </w:r>
      <w:hyperlink r:id="rId8" w:history="1">
        <w:r w:rsidRPr="0040759C">
          <w:rPr>
            <w:rStyle w:val="Hyperlink"/>
            <w:rFonts w:ascii="Arial" w:hAnsi="Arial" w:cs="Arial"/>
            <w:sz w:val="22"/>
            <w:szCs w:val="22"/>
            <w:lang w:val="fr-FR"/>
          </w:rPr>
          <w:t>Parscan</w:t>
        </w:r>
      </w:hyperlink>
      <w:r w:rsidRPr="00194DD4">
        <w:rPr>
          <w:rFonts w:ascii="Arial" w:hAnsi="Arial" w:cs="Arial"/>
          <w:sz w:val="22"/>
          <w:szCs w:val="22"/>
          <w:lang w:val="fr-FR"/>
        </w:rPr>
        <w:t xml:space="preserve">. </w:t>
      </w:r>
    </w:p>
    <w:p w14:paraId="591EF7D9" w14:textId="77777777" w:rsidR="00194DD4" w:rsidRPr="00194DD4" w:rsidRDefault="00194DD4" w:rsidP="00194DD4">
      <w:pPr>
        <w:spacing w:line="360" w:lineRule="auto"/>
        <w:rPr>
          <w:rFonts w:ascii="Arial" w:hAnsi="Arial" w:cs="Arial"/>
          <w:sz w:val="22"/>
          <w:szCs w:val="22"/>
          <w:lang w:val="fr-FR"/>
        </w:rPr>
      </w:pPr>
    </w:p>
    <w:p w14:paraId="2FDBC405" w14:textId="141735D9" w:rsidR="00194DD4" w:rsidRPr="00194DD4" w:rsidRDefault="00194DD4" w:rsidP="00194DD4">
      <w:pPr>
        <w:spacing w:line="360" w:lineRule="auto"/>
        <w:rPr>
          <w:rFonts w:ascii="Arial" w:hAnsi="Arial" w:cs="Arial"/>
          <w:b/>
          <w:bCs/>
          <w:sz w:val="22"/>
          <w:szCs w:val="22"/>
          <w:lang w:val="fr-FR"/>
        </w:rPr>
      </w:pPr>
      <w:r w:rsidRPr="00194DD4">
        <w:rPr>
          <w:rFonts w:ascii="Arial" w:hAnsi="Arial" w:cs="Arial"/>
          <w:b/>
          <w:bCs/>
          <w:sz w:val="22"/>
          <w:szCs w:val="22"/>
          <w:lang w:val="fr-FR"/>
        </w:rPr>
        <w:t xml:space="preserve">5 Parramatta Square : une architecture pour la communauté, de la lumière pour la vie publique </w:t>
      </w:r>
    </w:p>
    <w:p w14:paraId="1CFBC9FD" w14:textId="2D694D32"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Se différenciant des tours de bureaux, le 5 Parramatta Square (connu sous le nom de PHIVE) constitue le nouveau cœur administratif de la ville. Développé par le conseil municipal de Parramatta, il comprend </w:t>
      </w:r>
      <w:r w:rsidRPr="00194DD4">
        <w:rPr>
          <w:rFonts w:ascii="Arial" w:hAnsi="Arial" w:cs="Arial"/>
          <w:sz w:val="22"/>
          <w:szCs w:val="22"/>
          <w:lang w:val="fr-FR"/>
        </w:rPr>
        <w:lastRenderedPageBreak/>
        <w:t xml:space="preserve">une salle du conseil, une bibliothèque publique et des espaces communautaires au sein d’une structure fluide et incurvée. Sa façade blanche et sinueuse rappelle la rivière Parramatta toute proche, et sa forme accueillante et transparente symbolise l’accessibilité et l’ouverture citoyenne. Le bâtiment dispose également d’un grand écran numérique intégré à sa façade, offrant une plateforme pour des narrations, présenter des événements et communiquer avec les citoyens. L’éclairage à l’intérieur du PHIVE est conçu pour être fonctionnel, chaleureux et accueillant, favorisant les différentes activités auxquelles chaque zone est destinée grâce à un savant assemblage de projecteurs </w:t>
      </w:r>
      <w:hyperlink r:id="rId9" w:history="1">
        <w:r w:rsidRPr="0040759C">
          <w:rPr>
            <w:rStyle w:val="Hyperlink"/>
            <w:rFonts w:ascii="Arial" w:hAnsi="Arial" w:cs="Arial"/>
            <w:sz w:val="22"/>
            <w:szCs w:val="22"/>
            <w:lang w:val="fr-FR"/>
          </w:rPr>
          <w:t>Parscan</w:t>
        </w:r>
      </w:hyperlink>
      <w:r w:rsidRPr="00194DD4">
        <w:rPr>
          <w:rFonts w:ascii="Arial" w:hAnsi="Arial" w:cs="Arial"/>
          <w:sz w:val="22"/>
          <w:szCs w:val="22"/>
          <w:lang w:val="fr-FR"/>
        </w:rPr>
        <w:t xml:space="preserve"> et </w:t>
      </w:r>
      <w:hyperlink r:id="rId10" w:history="1">
        <w:r w:rsidRPr="0040759C">
          <w:rPr>
            <w:rStyle w:val="Hyperlink"/>
            <w:rFonts w:ascii="Arial" w:hAnsi="Arial" w:cs="Arial"/>
            <w:sz w:val="22"/>
            <w:szCs w:val="22"/>
            <w:lang w:val="fr-FR"/>
          </w:rPr>
          <w:t>Eclipse</w:t>
        </w:r>
      </w:hyperlink>
      <w:r w:rsidRPr="00194DD4">
        <w:rPr>
          <w:rFonts w:ascii="Arial" w:hAnsi="Arial" w:cs="Arial"/>
          <w:sz w:val="22"/>
          <w:szCs w:val="22"/>
          <w:lang w:val="fr-FR"/>
        </w:rPr>
        <w:t xml:space="preserve"> assurant l’éclairage ambiant, complété par des éclairages d’accentuation et de zone.  </w:t>
      </w:r>
    </w:p>
    <w:p w14:paraId="02809E0B" w14:textId="77777777" w:rsidR="00194DD4" w:rsidRPr="00194DD4" w:rsidRDefault="00194DD4" w:rsidP="00194DD4">
      <w:pPr>
        <w:spacing w:line="360" w:lineRule="auto"/>
        <w:rPr>
          <w:rFonts w:ascii="Arial" w:hAnsi="Arial" w:cs="Arial"/>
          <w:sz w:val="22"/>
          <w:szCs w:val="22"/>
          <w:lang w:val="fr-FR"/>
        </w:rPr>
      </w:pPr>
    </w:p>
    <w:p w14:paraId="1B3BC924" w14:textId="77777777" w:rsidR="00194DD4" w:rsidRPr="0040759C" w:rsidRDefault="00194DD4" w:rsidP="00194DD4">
      <w:pPr>
        <w:spacing w:line="360" w:lineRule="auto"/>
        <w:rPr>
          <w:rFonts w:ascii="Arial" w:hAnsi="Arial" w:cs="Arial"/>
          <w:b/>
          <w:bCs/>
          <w:sz w:val="22"/>
          <w:szCs w:val="22"/>
          <w:lang w:val="fr-FR"/>
        </w:rPr>
      </w:pPr>
      <w:r w:rsidRPr="0040759C">
        <w:rPr>
          <w:rFonts w:ascii="Arial" w:hAnsi="Arial" w:cs="Arial"/>
          <w:b/>
          <w:bCs/>
          <w:sz w:val="22"/>
          <w:szCs w:val="22"/>
          <w:lang w:val="fr-FR"/>
        </w:rPr>
        <w:t>Intemporel et durable : un éclairage haute performance s’harmonisant avec une vision architecturale</w:t>
      </w:r>
    </w:p>
    <w:p w14:paraId="5FA025F2" w14:textId="77777777"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développement des transports publics et la croissance démographique rendent évidente la pertinence d’un projet d’aménagement d’un site aussi vaste que celui de la Place Parramatta. La capacité de l’équipe à anticiper les exigences de la communauté et des locataires en matière de durabilité s’est également révélée essentielle. Les tours de bureaux se sont vu attribuer la certification Green Star 6 étoiles (accréditation « World Leadership » décernée par le Green Building Council of Australia) et le quartier a été reconnu en 2024 comme le projet commercial le moins énergivore d’Australie. </w:t>
      </w:r>
    </w:p>
    <w:p w14:paraId="4D58386F" w14:textId="77777777" w:rsidR="0040759C" w:rsidRPr="00194DD4" w:rsidRDefault="0040759C" w:rsidP="00194DD4">
      <w:pPr>
        <w:spacing w:line="360" w:lineRule="auto"/>
        <w:rPr>
          <w:rFonts w:ascii="Arial" w:hAnsi="Arial" w:cs="Arial"/>
          <w:sz w:val="22"/>
          <w:szCs w:val="22"/>
          <w:lang w:val="fr-FR"/>
        </w:rPr>
      </w:pPr>
    </w:p>
    <w:p w14:paraId="79629A34" w14:textId="77777777" w:rsidR="0040759C"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Le choix des luminaires ERCO dans la conception de l’éclairage cadrait parfaitement avec la vision globale du projet de la Place Parramatta. </w:t>
      </w:r>
    </w:p>
    <w:p w14:paraId="046D7B0B" w14:textId="77777777" w:rsidR="0040759C" w:rsidRPr="0040759C" w:rsidRDefault="0040759C" w:rsidP="0040759C">
      <w:pPr>
        <w:spacing w:line="360" w:lineRule="auto"/>
        <w:ind w:left="426"/>
        <w:rPr>
          <w:rFonts w:ascii="Arial" w:hAnsi="Arial" w:cs="Arial"/>
          <w:b/>
          <w:bCs/>
          <w:sz w:val="22"/>
          <w:szCs w:val="22"/>
          <w:lang w:val="fr-FR"/>
        </w:rPr>
      </w:pPr>
    </w:p>
    <w:p w14:paraId="238C38EA" w14:textId="77777777" w:rsidR="0040759C" w:rsidRDefault="00194DD4" w:rsidP="0040759C">
      <w:pPr>
        <w:spacing w:line="360" w:lineRule="auto"/>
        <w:ind w:left="426"/>
        <w:rPr>
          <w:rFonts w:ascii="Arial" w:hAnsi="Arial" w:cs="Arial"/>
          <w:sz w:val="22"/>
          <w:szCs w:val="22"/>
          <w:lang w:val="fr-FR"/>
        </w:rPr>
      </w:pPr>
      <w:r w:rsidRPr="0040759C">
        <w:rPr>
          <w:rFonts w:ascii="Arial" w:hAnsi="Arial" w:cs="Arial"/>
          <w:b/>
          <w:bCs/>
          <w:sz w:val="22"/>
          <w:szCs w:val="22"/>
          <w:lang w:val="fr-FR"/>
        </w:rPr>
        <w:t>« Les investissements de ERCO en matière de recherche et développement concernant les luminaires et les lentilles aboutissent à des produits très efficaces et très peu éblouissants »</w:t>
      </w:r>
      <w:r w:rsidRPr="0040759C">
        <w:rPr>
          <w:rFonts w:ascii="Arial" w:hAnsi="Arial" w:cs="Arial"/>
          <w:sz w:val="22"/>
          <w:szCs w:val="22"/>
          <w:lang w:val="fr-FR"/>
        </w:rPr>
        <w:t>,</w:t>
      </w:r>
      <w:r w:rsidRPr="00194DD4">
        <w:rPr>
          <w:rFonts w:ascii="Arial" w:hAnsi="Arial" w:cs="Arial"/>
          <w:sz w:val="22"/>
          <w:szCs w:val="22"/>
          <w:lang w:val="fr-FR"/>
        </w:rPr>
        <w:t xml:space="preserve"> explique Mathew Howard. </w:t>
      </w:r>
    </w:p>
    <w:p w14:paraId="1DDCAAC7" w14:textId="1656AEA5" w:rsidR="00194DD4" w:rsidRP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lastRenderedPageBreak/>
        <w:t>La haute efficacité, qui s’exprime en lux par watt, est le résultat de systèmes photométriques précis développés par ERCO. Le facteur déterminant est ici la quantité de lumière atteignant la surface à éclairer pour une charge connectée donnée. « Cela nous permet d’utiliser moins de luminaires pour obtenir les résultats architecturaux et d’éclairage souhaités et garantir le confort des occupants des bâtiments, et ce, de manière durable et économique. »</w:t>
      </w:r>
      <w:r w:rsidR="0040759C">
        <w:rPr>
          <w:rFonts w:ascii="Arial" w:hAnsi="Arial" w:cs="Arial"/>
          <w:sz w:val="22"/>
          <w:szCs w:val="22"/>
          <w:lang w:val="fr-FR"/>
        </w:rPr>
        <w:t>, dit Howard.</w:t>
      </w:r>
    </w:p>
    <w:p w14:paraId="423779BD" w14:textId="77777777" w:rsidR="0040759C" w:rsidRDefault="0040759C" w:rsidP="00194DD4">
      <w:pPr>
        <w:spacing w:line="360" w:lineRule="auto"/>
        <w:rPr>
          <w:rFonts w:ascii="Arial" w:hAnsi="Arial" w:cs="Arial"/>
          <w:sz w:val="22"/>
          <w:szCs w:val="22"/>
          <w:lang w:val="fr-FR"/>
        </w:rPr>
      </w:pPr>
    </w:p>
    <w:p w14:paraId="1E2651F6" w14:textId="77777777" w:rsidR="0040759C"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Michel Goupy partage cet avis : « Parmi la multitude d’appareils d’éclairage disponibles sur le marché, ERCO a été choisi pour sa fiabilité et sa haute qualité. La gamme de produits ERCO a permis de relever bon nombre de défis posés par la Place Parramatta grâce à son optique de précision, sa capacité à contrôler efficacement l’éblouissement, l’efficacité des luminaires, la haute qualité des sources lumineuses et les lentilles interchangeables. »</w:t>
      </w:r>
    </w:p>
    <w:p w14:paraId="3C1ADD05" w14:textId="77777777" w:rsidR="0040759C" w:rsidRDefault="0040759C" w:rsidP="00194DD4">
      <w:pPr>
        <w:spacing w:line="360" w:lineRule="auto"/>
        <w:rPr>
          <w:rFonts w:ascii="Arial" w:hAnsi="Arial" w:cs="Arial"/>
          <w:sz w:val="22"/>
          <w:szCs w:val="22"/>
          <w:lang w:val="fr-FR"/>
        </w:rPr>
      </w:pPr>
    </w:p>
    <w:p w14:paraId="7F42D283" w14:textId="3F22FB98" w:rsidR="00194DD4"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 xml:space="preserve">Walker Corporation’s Parramatta Square établit une nouvelle référence en Australie en matière de développement urbain intégré et axé sur la culture. Le succès du quartier ne réside pas seulement dans son architecture d’envergure internationale ou ses performances durables, mais aussi dans la place accordée à la vie émotionnelle et culturelle dans ses espaces. Et la conception de l’éclairage ? Comme le souligne Michel Goupy, concepteur lumière renommé, le public doit être impressionné par l’espace sans remarquer l’éclairage. </w:t>
      </w:r>
    </w:p>
    <w:p w14:paraId="6B685316" w14:textId="77777777" w:rsidR="006D7F1D" w:rsidRPr="00194DD4" w:rsidRDefault="006D7F1D" w:rsidP="00194DD4">
      <w:pPr>
        <w:spacing w:line="360" w:lineRule="auto"/>
        <w:rPr>
          <w:rFonts w:ascii="Arial" w:hAnsi="Arial" w:cs="Arial"/>
          <w:sz w:val="22"/>
          <w:szCs w:val="22"/>
          <w:lang w:val="fr-FR"/>
        </w:rPr>
      </w:pPr>
    </w:p>
    <w:p w14:paraId="35EF66DD" w14:textId="4192F934" w:rsidR="0044444E" w:rsidRDefault="00194DD4" w:rsidP="00194DD4">
      <w:pPr>
        <w:spacing w:line="360" w:lineRule="auto"/>
        <w:rPr>
          <w:rFonts w:ascii="Arial" w:hAnsi="Arial" w:cs="Arial"/>
          <w:sz w:val="22"/>
          <w:szCs w:val="22"/>
          <w:lang w:val="fr-FR"/>
        </w:rPr>
      </w:pPr>
      <w:r w:rsidRPr="00194DD4">
        <w:rPr>
          <w:rFonts w:ascii="Arial" w:hAnsi="Arial" w:cs="Arial"/>
          <w:sz w:val="22"/>
          <w:szCs w:val="22"/>
          <w:lang w:val="fr-FR"/>
        </w:rPr>
        <w:t>Grandeur, volume, orientation, fonction. Les résultats architecturaux et d’éclairage obtenus à la Place Parramatta répondent véritablement aux attentes des habitants de Sydney, et ce pour de nombreuses années à venir.</w:t>
      </w:r>
    </w:p>
    <w:p w14:paraId="7E0A3D2D" w14:textId="77777777" w:rsidR="006F6B8D" w:rsidRDefault="006F6B8D" w:rsidP="00890478">
      <w:pPr>
        <w:spacing w:line="360" w:lineRule="auto"/>
        <w:rPr>
          <w:rFonts w:ascii="Arial" w:hAnsi="Arial" w:cs="Arial"/>
          <w:b/>
          <w:bCs/>
          <w:sz w:val="22"/>
          <w:szCs w:val="22"/>
          <w:lang w:val="fr-FR"/>
        </w:rPr>
      </w:pPr>
    </w:p>
    <w:p w14:paraId="226BA1DB" w14:textId="77777777" w:rsidR="0040759C" w:rsidRDefault="0040759C">
      <w:pPr>
        <w:rPr>
          <w:rStyle w:val="Ohne"/>
          <w:rFonts w:ascii="Arial" w:hAnsi="Arial" w:cs="Arial"/>
          <w:b/>
          <w:bCs/>
          <w:sz w:val="22"/>
          <w:szCs w:val="22"/>
        </w:rPr>
      </w:pPr>
      <w:r>
        <w:rPr>
          <w:rStyle w:val="Ohne"/>
          <w:b/>
          <w:bCs/>
        </w:rPr>
        <w:br w:type="page"/>
      </w:r>
    </w:p>
    <w:p w14:paraId="78E1A276" w14:textId="5F558168" w:rsidR="0040759C" w:rsidRDefault="0040759C" w:rsidP="0040759C">
      <w:pPr>
        <w:pStyle w:val="ERCOText"/>
        <w:outlineLvl w:val="0"/>
        <w:rPr>
          <w:rStyle w:val="Ohne"/>
          <w:b/>
          <w:bCs/>
        </w:rPr>
      </w:pPr>
      <w:r>
        <w:rPr>
          <w:rStyle w:val="Ohne"/>
          <w:b/>
          <w:bCs/>
        </w:rPr>
        <w:lastRenderedPageBreak/>
        <w:t>Plus sur</w:t>
      </w:r>
      <w:r w:rsidRPr="00922151">
        <w:rPr>
          <w:rStyle w:val="Ohne"/>
          <w:b/>
          <w:bCs/>
        </w:rPr>
        <w:t xml:space="preserve"> </w:t>
      </w:r>
      <w:r w:rsidR="00CC17DE">
        <w:rPr>
          <w:rStyle w:val="Ohne"/>
          <w:b/>
          <w:bCs/>
        </w:rPr>
        <w:t>Parramatta Square</w:t>
      </w:r>
      <w:r>
        <w:rPr>
          <w:rStyle w:val="Ohne"/>
          <w:b/>
          <w:bCs/>
        </w:rPr>
        <w:t xml:space="preserve"> </w:t>
      </w:r>
      <w:r w:rsidRPr="00922151">
        <w:rPr>
          <w:rStyle w:val="Ohne"/>
          <w:b/>
          <w:bCs/>
        </w:rPr>
        <w:t>:</w:t>
      </w:r>
    </w:p>
    <w:p w14:paraId="03228361" w14:textId="77777777" w:rsidR="0040759C" w:rsidRDefault="0040759C" w:rsidP="0040759C">
      <w:pPr>
        <w:pStyle w:val="ERCOText"/>
        <w:outlineLvl w:val="0"/>
      </w:pPr>
      <w:hyperlink r:id="rId11" w:history="1">
        <w:r>
          <w:rPr>
            <w:rStyle w:val="Hyperlink"/>
            <w:b/>
            <w:bCs/>
          </w:rPr>
          <w:t>https://www.erco.com/press/8023/fr</w:t>
        </w:r>
      </w:hyperlink>
    </w:p>
    <w:p w14:paraId="2CADE631" w14:textId="77777777" w:rsidR="0040759C" w:rsidRDefault="0040759C" w:rsidP="0040759C">
      <w:pPr>
        <w:pStyle w:val="ERCOText"/>
        <w:outlineLvl w:val="0"/>
        <w:rPr>
          <w:rStyle w:val="Ohne"/>
        </w:rPr>
      </w:pPr>
    </w:p>
    <w:p w14:paraId="1DF1AAF5" w14:textId="3BCE69E2" w:rsidR="006D7F1D" w:rsidRDefault="006D7F1D" w:rsidP="0040759C">
      <w:pPr>
        <w:pStyle w:val="ERCOText"/>
        <w:outlineLvl w:val="0"/>
        <w:rPr>
          <w:rStyle w:val="Ohne"/>
        </w:rPr>
      </w:pPr>
      <w:r>
        <w:rPr>
          <w:noProof/>
        </w:rPr>
        <w:drawing>
          <wp:inline distT="0" distB="0" distL="0" distR="0" wp14:anchorId="78C0D67E" wp14:editId="758B4EEE">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202C94CA" w14:textId="77777777" w:rsidR="006D7F1D" w:rsidRDefault="006D7F1D" w:rsidP="0040759C">
      <w:pPr>
        <w:pStyle w:val="ERCOText"/>
        <w:outlineLvl w:val="0"/>
        <w:rPr>
          <w:rStyle w:val="Ohne"/>
        </w:rPr>
      </w:pPr>
    </w:p>
    <w:p w14:paraId="2664AA70" w14:textId="77777777" w:rsidR="0040759C" w:rsidRPr="001F1FDE" w:rsidRDefault="0040759C" w:rsidP="0040759C">
      <w:pPr>
        <w:pStyle w:val="ERCOText"/>
        <w:outlineLvl w:val="0"/>
        <w:rPr>
          <w:b/>
          <w:bCs/>
          <w:color w:val="FF0000"/>
        </w:rPr>
      </w:pPr>
      <w:r w:rsidRPr="001F1FDE">
        <w:rPr>
          <w:b/>
          <w:bCs/>
          <w:color w:val="FF0000"/>
          <w:lang w:val="en-US"/>
        </w:rPr>
        <w:t xml:space="preserve">Note à la </w:t>
      </w:r>
      <w:proofErr w:type="gramStart"/>
      <w:r w:rsidRPr="001F1FDE">
        <w:rPr>
          <w:b/>
          <w:bCs/>
          <w:color w:val="FF0000"/>
          <w:lang w:val="en-US"/>
        </w:rPr>
        <w:t>redaction</w:t>
      </w:r>
      <w:r>
        <w:rPr>
          <w:b/>
          <w:bCs/>
          <w:color w:val="FF0000"/>
          <w:lang w:val="en-US"/>
        </w:rPr>
        <w:t xml:space="preserve"> </w:t>
      </w:r>
      <w:r w:rsidRPr="001F1FDE">
        <w:rPr>
          <w:b/>
          <w:bCs/>
          <w:color w:val="FF0000"/>
          <w:lang w:val="en-US"/>
        </w:rPr>
        <w:t>:</w:t>
      </w:r>
      <w:proofErr w:type="gramEnd"/>
      <w:r w:rsidRPr="001F1FDE">
        <w:rPr>
          <w:b/>
          <w:bCs/>
          <w:color w:val="FF0000"/>
          <w:lang w:val="en-US"/>
        </w:rPr>
        <w:t xml:space="preserve"> </w:t>
      </w:r>
      <w:r>
        <w:rPr>
          <w:b/>
          <w:bCs/>
          <w:color w:val="FF0000"/>
          <w:lang w:val="en-US"/>
        </w:rPr>
        <w:br/>
      </w:r>
      <w:r w:rsidRPr="00361558">
        <w:rPr>
          <w:color w:val="FF0000"/>
        </w:rPr>
        <w:t xml:space="preserve">Veuillez utiliser ce </w:t>
      </w:r>
      <w:proofErr w:type="gramStart"/>
      <w:r w:rsidRPr="00361558">
        <w:rPr>
          <w:color w:val="FF0000"/>
        </w:rPr>
        <w:t>lien :</w:t>
      </w:r>
      <w:proofErr w:type="gramEnd"/>
      <w:r w:rsidRPr="00361558">
        <w:rPr>
          <w:color w:val="FF0000"/>
        </w:rPr>
        <w:t xml:space="preserve"> votre lectorat bénéficiera ainsi d'un parcours utilisateur continu mais aussi de contenu supplémentaire à ce communiqué de presse. Ce lien restera actif en permanence.</w:t>
      </w:r>
    </w:p>
    <w:p w14:paraId="3ADE2FEE" w14:textId="77777777" w:rsidR="0040759C" w:rsidRPr="006041AF" w:rsidRDefault="0040759C" w:rsidP="00890478">
      <w:pPr>
        <w:spacing w:line="360" w:lineRule="auto"/>
        <w:rPr>
          <w:rFonts w:ascii="Arial" w:hAnsi="Arial" w:cs="Arial"/>
          <w:b/>
          <w:bCs/>
          <w:sz w:val="22"/>
          <w:szCs w:val="22"/>
          <w:lang w:val="fr-FR"/>
        </w:rPr>
      </w:pPr>
    </w:p>
    <w:p w14:paraId="72825ECA" w14:textId="77777777" w:rsidR="006D7F1D" w:rsidRDefault="006D7F1D" w:rsidP="009808B4">
      <w:pPr>
        <w:rPr>
          <w:rFonts w:ascii="Arial" w:hAnsi="Arial" w:cs="Arial"/>
          <w:b/>
          <w:bCs/>
          <w:sz w:val="22"/>
          <w:szCs w:val="18"/>
        </w:rPr>
      </w:pPr>
    </w:p>
    <w:p w14:paraId="3081E3BD" w14:textId="77777777" w:rsidR="006D7F1D" w:rsidRDefault="006D7F1D" w:rsidP="006D7F1D">
      <w:pPr>
        <w:spacing w:line="360" w:lineRule="auto"/>
        <w:rPr>
          <w:rFonts w:ascii="Arial" w:hAnsi="Arial" w:cs="Arial"/>
          <w:b/>
          <w:bCs/>
          <w:sz w:val="22"/>
          <w:szCs w:val="18"/>
        </w:rPr>
      </w:pPr>
    </w:p>
    <w:p w14:paraId="2A880BE5" w14:textId="0E7B6FEF" w:rsidR="00AD04EA" w:rsidRPr="0044444E" w:rsidRDefault="00BA4DCC" w:rsidP="006D7F1D">
      <w:pPr>
        <w:spacing w:line="360" w:lineRule="auto"/>
        <w:rPr>
          <w:rFonts w:ascii="Arial" w:hAnsi="Arial" w:cs="Arial"/>
          <w:b/>
          <w:sz w:val="21"/>
          <w:szCs w:val="21"/>
        </w:rPr>
      </w:pPr>
      <w:r w:rsidRPr="009808B4">
        <w:rPr>
          <w:rFonts w:ascii="Arial" w:hAnsi="Arial" w:cs="Arial"/>
          <w:b/>
          <w:bCs/>
          <w:sz w:val="22"/>
          <w:szCs w:val="18"/>
        </w:rPr>
        <w:t>Données</w:t>
      </w:r>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r w:rsidRPr="009808B4">
        <w:rPr>
          <w:rFonts w:ascii="Arial" w:hAnsi="Arial" w:cs="Arial"/>
          <w:b/>
          <w:bCs/>
          <w:sz w:val="22"/>
          <w:szCs w:val="18"/>
        </w:rPr>
        <w:t>projet</w:t>
      </w:r>
    </w:p>
    <w:p w14:paraId="1D765EB4" w14:textId="77777777" w:rsidR="00564FEF" w:rsidRPr="006041AF" w:rsidRDefault="00564FEF" w:rsidP="006D7F1D">
      <w:pPr>
        <w:pStyle w:val="01berschriftERCO"/>
        <w:spacing w:line="360" w:lineRule="auto"/>
      </w:pPr>
    </w:p>
    <w:p w14:paraId="373C2F4C" w14:textId="77777777" w:rsidR="0044444E" w:rsidRDefault="006D1CB8" w:rsidP="006D7F1D">
      <w:pPr>
        <w:pStyle w:val="01berschriftERCO"/>
        <w:spacing w:line="360" w:lineRule="auto"/>
      </w:pPr>
      <w:r w:rsidRPr="00564FEF">
        <w:t>Projet :</w:t>
      </w:r>
      <w:r w:rsidR="009808B4">
        <w:tab/>
      </w:r>
      <w:r w:rsidR="009808B4">
        <w:tab/>
      </w:r>
      <w:r w:rsidR="009808B4">
        <w:tab/>
      </w:r>
    </w:p>
    <w:p w14:paraId="78EF6F80" w14:textId="24903F39" w:rsidR="006D1CB8" w:rsidRDefault="00CC17DE" w:rsidP="006D7F1D">
      <w:pPr>
        <w:pStyle w:val="01berschriftERCO"/>
        <w:spacing w:line="360" w:lineRule="auto"/>
      </w:pPr>
      <w:r w:rsidRPr="00CC17DE">
        <w:t>Place Parramatta de Sydney, Australie</w:t>
      </w:r>
    </w:p>
    <w:p w14:paraId="6B7311F4" w14:textId="77777777" w:rsidR="00D12935" w:rsidRPr="00564FEF" w:rsidRDefault="00D12935" w:rsidP="006D7F1D">
      <w:pPr>
        <w:pStyle w:val="01berschriftERCO"/>
        <w:spacing w:line="360" w:lineRule="auto"/>
      </w:pPr>
    </w:p>
    <w:p w14:paraId="3AF1E6E4" w14:textId="26A1888B" w:rsidR="00D12935" w:rsidRPr="00564FEF" w:rsidRDefault="00D12935" w:rsidP="006D7F1D">
      <w:pPr>
        <w:spacing w:line="360" w:lineRule="auto"/>
        <w:rPr>
          <w:rFonts w:ascii="Arial" w:hAnsi="Arial" w:cs="Arial"/>
          <w:sz w:val="22"/>
          <w:szCs w:val="22"/>
          <w:lang w:val="en-US"/>
        </w:rPr>
      </w:pPr>
      <w:proofErr w:type="gramStart"/>
      <w:r w:rsidRPr="00564FEF">
        <w:rPr>
          <w:rFonts w:ascii="Arial" w:hAnsi="Arial" w:cs="Arial"/>
          <w:sz w:val="22"/>
          <w:szCs w:val="22"/>
          <w:lang w:val="en-US"/>
        </w:rPr>
        <w:t>Architecture</w:t>
      </w:r>
      <w:r w:rsidR="00CC17DE">
        <w:rPr>
          <w:rFonts w:ascii="Arial" w:hAnsi="Arial" w:cs="Arial"/>
          <w:sz w:val="22"/>
          <w:szCs w:val="22"/>
          <w:lang w:val="en-US"/>
        </w:rPr>
        <w:t xml:space="preserve"> </w:t>
      </w:r>
      <w:r w:rsidRPr="00564FEF">
        <w:rPr>
          <w:rFonts w:ascii="Arial" w:hAnsi="Arial" w:cs="Arial"/>
          <w:sz w:val="22"/>
          <w:szCs w:val="22"/>
          <w:lang w:val="en-US"/>
        </w:rPr>
        <w:t>:</w:t>
      </w:r>
      <w:proofErr w:type="gramEnd"/>
      <w:r w:rsidRPr="00564FEF">
        <w:rPr>
          <w:rFonts w:ascii="Arial" w:hAnsi="Arial" w:cs="Arial"/>
          <w:sz w:val="22"/>
          <w:szCs w:val="22"/>
          <w:lang w:val="en-US"/>
        </w:rPr>
        <w:t xml:space="preserve"> </w:t>
      </w:r>
    </w:p>
    <w:p w14:paraId="77440603" w14:textId="1ABAA93C" w:rsidR="00D12935" w:rsidRDefault="00CC17DE" w:rsidP="006D7F1D">
      <w:pPr>
        <w:spacing w:line="360" w:lineRule="auto"/>
        <w:rPr>
          <w:rFonts w:ascii="Arial" w:hAnsi="Arial" w:cs="Arial"/>
          <w:sz w:val="22"/>
          <w:szCs w:val="22"/>
        </w:rPr>
      </w:pPr>
      <w:r>
        <w:rPr>
          <w:rFonts w:ascii="Arial" w:hAnsi="Arial" w:cs="Arial"/>
          <w:sz w:val="22"/>
          <w:szCs w:val="22"/>
        </w:rPr>
        <w:t>JPW, Sydney</w:t>
      </w:r>
    </w:p>
    <w:p w14:paraId="1DE980AC" w14:textId="77777777" w:rsidR="0065746E" w:rsidRPr="00564FEF" w:rsidRDefault="0065746E" w:rsidP="006D7F1D">
      <w:pPr>
        <w:spacing w:line="360" w:lineRule="auto"/>
        <w:rPr>
          <w:rFonts w:ascii="Arial" w:hAnsi="Arial" w:cs="Arial"/>
          <w:sz w:val="22"/>
          <w:szCs w:val="22"/>
        </w:rPr>
      </w:pPr>
    </w:p>
    <w:p w14:paraId="55233E72" w14:textId="77777777" w:rsidR="00CC17DE" w:rsidRDefault="00CC17DE" w:rsidP="006D7F1D">
      <w:pPr>
        <w:pStyle w:val="01berschriftERCO"/>
        <w:spacing w:line="360" w:lineRule="auto"/>
        <w:rPr>
          <w:bCs w:val="0"/>
          <w:lang w:val="de-DE"/>
        </w:rPr>
      </w:pPr>
      <w:r w:rsidRPr="00CC17DE">
        <w:rPr>
          <w:bCs w:val="0"/>
          <w:lang w:val="de-DE"/>
        </w:rPr>
        <w:t xml:space="preserve">Développeur : </w:t>
      </w:r>
    </w:p>
    <w:p w14:paraId="5444F133" w14:textId="31493A43" w:rsidR="00CC17DE" w:rsidRDefault="00CC17DE" w:rsidP="006D7F1D">
      <w:pPr>
        <w:pStyle w:val="01berschriftERCO"/>
        <w:spacing w:line="360" w:lineRule="auto"/>
        <w:rPr>
          <w:bCs w:val="0"/>
          <w:lang w:val="de-DE"/>
        </w:rPr>
      </w:pPr>
      <w:r w:rsidRPr="00CC17DE">
        <w:rPr>
          <w:bCs w:val="0"/>
          <w:lang w:val="de-DE"/>
        </w:rPr>
        <w:t>Walker Corporation</w:t>
      </w:r>
      <w:r w:rsidR="0032651D">
        <w:rPr>
          <w:bCs w:val="0"/>
          <w:lang w:val="de-DE"/>
        </w:rPr>
        <w:t>, Sydney</w:t>
      </w:r>
    </w:p>
    <w:p w14:paraId="0A03E0B2" w14:textId="77777777" w:rsidR="00CC17DE" w:rsidRPr="00CC17DE" w:rsidRDefault="00CC17DE" w:rsidP="006D7F1D">
      <w:pPr>
        <w:pStyle w:val="01berschriftERCO"/>
        <w:spacing w:line="360" w:lineRule="auto"/>
        <w:rPr>
          <w:bCs w:val="0"/>
          <w:lang w:val="de-DE"/>
        </w:rPr>
      </w:pPr>
    </w:p>
    <w:p w14:paraId="2CAB987D" w14:textId="77777777" w:rsidR="00CC17DE" w:rsidRDefault="00CC17DE" w:rsidP="006D7F1D">
      <w:pPr>
        <w:pStyle w:val="01berschriftERCO"/>
        <w:spacing w:line="360" w:lineRule="auto"/>
        <w:rPr>
          <w:bCs w:val="0"/>
          <w:lang w:val="de-DE"/>
        </w:rPr>
      </w:pPr>
      <w:r w:rsidRPr="00CC17DE">
        <w:rPr>
          <w:bCs w:val="0"/>
          <w:lang w:val="de-DE"/>
        </w:rPr>
        <w:t xml:space="preserve">Conception lumière : </w:t>
      </w:r>
    </w:p>
    <w:p w14:paraId="73E606F1" w14:textId="77BFD66A" w:rsidR="00CC17DE" w:rsidRDefault="00CC17DE" w:rsidP="006D7F1D">
      <w:pPr>
        <w:pStyle w:val="01berschriftERCO"/>
        <w:spacing w:line="360" w:lineRule="auto"/>
        <w:rPr>
          <w:bCs w:val="0"/>
          <w:lang w:val="de-DE"/>
        </w:rPr>
      </w:pPr>
      <w:r w:rsidRPr="00CC17DE">
        <w:rPr>
          <w:bCs w:val="0"/>
          <w:lang w:val="de-DE"/>
        </w:rPr>
        <w:t>Light Studio MG</w:t>
      </w:r>
      <w:r w:rsidR="0032651D">
        <w:rPr>
          <w:bCs w:val="0"/>
          <w:lang w:val="de-DE"/>
        </w:rPr>
        <w:t>, Leichhardt</w:t>
      </w:r>
    </w:p>
    <w:p w14:paraId="4EC56BC0" w14:textId="77777777" w:rsidR="00CC17DE" w:rsidRPr="00CC17DE" w:rsidRDefault="00CC17DE" w:rsidP="006D7F1D">
      <w:pPr>
        <w:pStyle w:val="01berschriftERCO"/>
        <w:spacing w:line="360" w:lineRule="auto"/>
        <w:rPr>
          <w:bCs w:val="0"/>
          <w:lang w:val="de-DE"/>
        </w:rPr>
      </w:pPr>
    </w:p>
    <w:p w14:paraId="15BC6E71" w14:textId="77777777" w:rsidR="00CC17DE" w:rsidRDefault="00CC17DE" w:rsidP="006D7F1D">
      <w:pPr>
        <w:pStyle w:val="01berschriftERCO"/>
        <w:spacing w:line="360" w:lineRule="auto"/>
        <w:rPr>
          <w:bCs w:val="0"/>
          <w:lang w:val="de-DE"/>
        </w:rPr>
      </w:pPr>
      <w:r w:rsidRPr="00CC17DE">
        <w:rPr>
          <w:bCs w:val="0"/>
          <w:lang w:val="de-DE"/>
        </w:rPr>
        <w:t xml:space="preserve">Prescripteur : </w:t>
      </w:r>
    </w:p>
    <w:p w14:paraId="5AA54E73" w14:textId="06C38470" w:rsidR="00CC17DE" w:rsidRDefault="00CC17DE" w:rsidP="006D7F1D">
      <w:pPr>
        <w:pStyle w:val="01berschriftERCO"/>
        <w:spacing w:line="360" w:lineRule="auto"/>
        <w:rPr>
          <w:bCs w:val="0"/>
          <w:lang w:val="de-DE"/>
        </w:rPr>
      </w:pPr>
      <w:r w:rsidRPr="00CC17DE">
        <w:rPr>
          <w:bCs w:val="0"/>
          <w:lang w:val="de-DE"/>
        </w:rPr>
        <w:t xml:space="preserve">Consultants LCI (3PSQ), AECOM (4PSQ), WSP (6-8PSQ) </w:t>
      </w:r>
    </w:p>
    <w:p w14:paraId="1E9A1C5E" w14:textId="77777777" w:rsidR="00CC17DE" w:rsidRPr="00CC17DE" w:rsidRDefault="00CC17DE" w:rsidP="006D7F1D">
      <w:pPr>
        <w:pStyle w:val="01berschriftERCO"/>
        <w:spacing w:line="360" w:lineRule="auto"/>
        <w:rPr>
          <w:bCs w:val="0"/>
          <w:lang w:val="de-DE"/>
        </w:rPr>
      </w:pPr>
    </w:p>
    <w:p w14:paraId="22196D81" w14:textId="77777777" w:rsidR="00CC17DE" w:rsidRDefault="00CC17DE" w:rsidP="006D7F1D">
      <w:pPr>
        <w:pStyle w:val="01berschriftERCO"/>
        <w:spacing w:line="360" w:lineRule="auto"/>
        <w:rPr>
          <w:bCs w:val="0"/>
          <w:lang w:val="de-DE"/>
        </w:rPr>
      </w:pPr>
      <w:r w:rsidRPr="00CC17DE">
        <w:rPr>
          <w:bCs w:val="0"/>
          <w:lang w:val="de-DE"/>
        </w:rPr>
        <w:t xml:space="preserve">Partenaire : </w:t>
      </w:r>
    </w:p>
    <w:p w14:paraId="12BF7835" w14:textId="4BE6173A" w:rsidR="00CC17DE" w:rsidRPr="00CC17DE" w:rsidRDefault="00CC17DE" w:rsidP="006D7F1D">
      <w:pPr>
        <w:pStyle w:val="01berschriftERCO"/>
        <w:spacing w:line="360" w:lineRule="auto"/>
        <w:rPr>
          <w:bCs w:val="0"/>
          <w:lang w:val="de-DE"/>
        </w:rPr>
      </w:pPr>
      <w:r w:rsidRPr="00CC17DE">
        <w:rPr>
          <w:bCs w:val="0"/>
          <w:lang w:val="de-DE"/>
        </w:rPr>
        <w:t>Jadecross</w:t>
      </w:r>
      <w:r w:rsidR="0032651D">
        <w:rPr>
          <w:bCs w:val="0"/>
          <w:lang w:val="de-DE"/>
        </w:rPr>
        <w:t>, Sydney</w:t>
      </w:r>
    </w:p>
    <w:p w14:paraId="1DA0F8BE" w14:textId="77777777" w:rsidR="00CC17DE" w:rsidRDefault="00CC17DE" w:rsidP="00CC17DE">
      <w:pPr>
        <w:pStyle w:val="01berschriftERCO"/>
        <w:rPr>
          <w:bCs w:val="0"/>
          <w:lang w:val="de-DE"/>
        </w:rPr>
      </w:pPr>
    </w:p>
    <w:p w14:paraId="56DE1FAA" w14:textId="5999CD9E" w:rsidR="0044444E" w:rsidRDefault="00BA4DCC" w:rsidP="00CC17DE">
      <w:pPr>
        <w:pStyle w:val="01berschriftERCO"/>
      </w:pPr>
      <w:r w:rsidRPr="00564FEF">
        <w:lastRenderedPageBreak/>
        <w:t xml:space="preserve">Produits </w:t>
      </w:r>
      <w:r w:rsidR="00F029C0" w:rsidRPr="00564FEF">
        <w:t>:</w:t>
      </w:r>
      <w:r w:rsidR="00F029C0" w:rsidRPr="00564FEF">
        <w:tab/>
      </w:r>
      <w:r w:rsidR="009808B4">
        <w:tab/>
      </w:r>
    </w:p>
    <w:p w14:paraId="0BFA3831" w14:textId="72DEDCC8" w:rsidR="00CC17DE" w:rsidRDefault="001C20A5" w:rsidP="00CC17DE">
      <w:pPr>
        <w:spacing w:line="360" w:lineRule="auto"/>
        <w:ind w:left="2120" w:hanging="2120"/>
        <w:rPr>
          <w:rFonts w:ascii="Arial" w:hAnsi="Arial" w:cs="Arial"/>
          <w:sz w:val="22"/>
          <w:szCs w:val="22"/>
        </w:rPr>
      </w:pPr>
      <w:hyperlink r:id="rId13" w:history="1">
        <w:r>
          <w:rPr>
            <w:rFonts w:ascii="Arial" w:hAnsi="Arial" w:cs="Arial"/>
            <w:color w:val="0000FF"/>
            <w:sz w:val="22"/>
            <w:szCs w:val="22"/>
            <w:u w:val="single"/>
            <w:lang w:val="en-US"/>
          </w:rPr>
          <w:t>Quintessence appareils encastrés</w:t>
        </w:r>
      </w:hyperlink>
      <w:r w:rsidR="00CC17DE" w:rsidRPr="00A36FA9">
        <w:rPr>
          <w:rFonts w:ascii="Arial" w:hAnsi="Arial" w:cs="Arial"/>
          <w:sz w:val="22"/>
          <w:szCs w:val="22"/>
        </w:rPr>
        <w:t xml:space="preserve">, </w:t>
      </w:r>
      <w:hyperlink r:id="rId14" w:history="1">
        <w:r>
          <w:rPr>
            <w:rFonts w:ascii="Arial" w:hAnsi="Arial" w:cs="Arial"/>
            <w:color w:val="0000FF"/>
            <w:sz w:val="22"/>
            <w:szCs w:val="22"/>
            <w:u w:val="single"/>
            <w:lang w:val="en-US"/>
          </w:rPr>
          <w:t>Atrium appareils encastrés</w:t>
        </w:r>
      </w:hyperlink>
      <w:r w:rsidR="00CC17DE" w:rsidRPr="00A36FA9">
        <w:rPr>
          <w:rFonts w:ascii="Arial" w:hAnsi="Arial" w:cs="Arial"/>
          <w:sz w:val="22"/>
          <w:szCs w:val="22"/>
        </w:rPr>
        <w:t xml:space="preserve">, </w:t>
      </w:r>
    </w:p>
    <w:p w14:paraId="194A551E" w14:textId="004B6314" w:rsidR="00CC17DE" w:rsidRPr="00B1317A" w:rsidRDefault="00CC17DE" w:rsidP="00CC17DE">
      <w:pPr>
        <w:spacing w:line="360" w:lineRule="auto"/>
        <w:rPr>
          <w:rFonts w:ascii="Arial" w:hAnsi="Arial" w:cs="Arial"/>
          <w:sz w:val="22"/>
          <w:szCs w:val="22"/>
        </w:rPr>
      </w:pPr>
      <w:hyperlink r:id="rId15" w:history="1">
        <w:r>
          <w:rPr>
            <w:rFonts w:ascii="Arial" w:hAnsi="Arial" w:cs="Arial"/>
            <w:color w:val="0000FF"/>
            <w:sz w:val="22"/>
            <w:szCs w:val="22"/>
            <w:u w:val="single"/>
            <w:lang w:val="en-US"/>
          </w:rPr>
          <w:t>Parscan projecteurs</w:t>
        </w:r>
      </w:hyperlink>
      <w:r w:rsidRPr="00A36FA9">
        <w:rPr>
          <w:rFonts w:ascii="Arial" w:hAnsi="Arial" w:cs="Arial"/>
          <w:sz w:val="22"/>
          <w:szCs w:val="22"/>
        </w:rPr>
        <w:t xml:space="preserve">, </w:t>
      </w:r>
      <w:hyperlink r:id="rId16" w:history="1">
        <w:r>
          <w:rPr>
            <w:rFonts w:ascii="Arial" w:hAnsi="Arial" w:cs="Arial"/>
            <w:color w:val="0000FF"/>
            <w:sz w:val="22"/>
            <w:szCs w:val="22"/>
            <w:u w:val="single"/>
            <w:lang w:val="en-US"/>
          </w:rPr>
          <w:t>Eclipse InTrack projecteurs</w:t>
        </w:r>
      </w:hyperlink>
      <w:r w:rsidRPr="00A36FA9">
        <w:rPr>
          <w:rFonts w:ascii="Arial" w:hAnsi="Arial" w:cs="Arial"/>
          <w:sz w:val="22"/>
          <w:szCs w:val="22"/>
        </w:rPr>
        <w:t xml:space="preserve">, </w:t>
      </w:r>
      <w:hyperlink r:id="rId17" w:history="1">
        <w:r w:rsidR="001C20A5">
          <w:rPr>
            <w:rFonts w:ascii="Arial" w:hAnsi="Arial" w:cs="Arial"/>
            <w:color w:val="0000FF"/>
            <w:sz w:val="22"/>
            <w:szCs w:val="22"/>
            <w:u w:val="single"/>
            <w:lang w:val="en-US"/>
          </w:rPr>
          <w:t>Tesis appareils encastrés de sol</w:t>
        </w:r>
      </w:hyperlink>
      <w:r w:rsidRPr="00A36FA9">
        <w:rPr>
          <w:rFonts w:ascii="Arial" w:hAnsi="Arial" w:cs="Arial"/>
          <w:color w:val="000000"/>
          <w:sz w:val="22"/>
          <w:szCs w:val="22"/>
        </w:rPr>
        <w:t xml:space="preserve">, </w:t>
      </w:r>
      <w:hyperlink r:id="rId18" w:history="1">
        <w:r w:rsidR="001C20A5">
          <w:rPr>
            <w:rFonts w:ascii="Arial" w:hAnsi="Arial" w:cs="Arial"/>
            <w:color w:val="0000FF"/>
            <w:sz w:val="22"/>
            <w:szCs w:val="22"/>
            <w:u w:val="single"/>
            <w:lang w:val="en-US"/>
          </w:rPr>
          <w:t>Lightgap appareils encastrés</w:t>
        </w:r>
      </w:hyperlink>
      <w:r w:rsidRPr="00A36FA9">
        <w:rPr>
          <w:rFonts w:ascii="Arial" w:hAnsi="Arial" w:cs="Arial"/>
          <w:color w:val="000000"/>
          <w:sz w:val="22"/>
          <w:szCs w:val="22"/>
        </w:rPr>
        <w:t xml:space="preserve">, </w:t>
      </w:r>
      <w:hyperlink r:id="rId19" w:history="1">
        <w:r w:rsidR="001C20A5">
          <w:rPr>
            <w:rFonts w:ascii="Arial" w:hAnsi="Arial" w:cs="Arial"/>
            <w:color w:val="0000FF"/>
            <w:sz w:val="22"/>
            <w:szCs w:val="22"/>
            <w:u w:val="single"/>
          </w:rPr>
          <w:t>Skim appareils encastrés</w:t>
        </w:r>
      </w:hyperlink>
    </w:p>
    <w:p w14:paraId="5DF8F41D" w14:textId="77777777" w:rsidR="00746F23" w:rsidRPr="00564FEF" w:rsidRDefault="00746F23" w:rsidP="007D2085">
      <w:pPr>
        <w:pStyle w:val="01berschriftERCO"/>
      </w:pPr>
    </w:p>
    <w:p w14:paraId="7A943E49" w14:textId="77777777" w:rsidR="0044444E" w:rsidRDefault="00BA4DCC" w:rsidP="007D2085">
      <w:pPr>
        <w:pStyle w:val="01berschriftERCO"/>
      </w:pPr>
      <w:r w:rsidRPr="00564FEF">
        <w:t xml:space="preserve">Crédits photo </w:t>
      </w:r>
      <w:r w:rsidR="00F029C0" w:rsidRPr="00564FEF">
        <w:t>:</w:t>
      </w:r>
      <w:r w:rsidR="00564FEF" w:rsidRPr="00564FEF">
        <w:t xml:space="preserve"> </w:t>
      </w:r>
      <w:r w:rsidR="009808B4">
        <w:tab/>
      </w:r>
    </w:p>
    <w:p w14:paraId="199782C0" w14:textId="25CC94EF" w:rsidR="00A65F67" w:rsidRDefault="00F029C0" w:rsidP="001C20A5">
      <w:pPr>
        <w:pStyle w:val="01berschriftERCO"/>
      </w:pPr>
      <w:r w:rsidRPr="00564FEF">
        <w:t xml:space="preserve">© ERCO GmbH, </w:t>
      </w:r>
      <w:hyperlink r:id="rId20" w:history="1">
        <w:r w:rsidR="0044444E" w:rsidRPr="00792C7B">
          <w:rPr>
            <w:rStyle w:val="Hyperlink"/>
          </w:rPr>
          <w:t>www.erco.com</w:t>
        </w:r>
      </w:hyperlink>
      <w:r w:rsidRPr="00564FEF">
        <w:t>,</w:t>
      </w:r>
      <w:r w:rsidR="0044444E">
        <w:t xml:space="preserve"> p</w:t>
      </w:r>
      <w:r w:rsidR="00BA4DCC" w:rsidRPr="00564FEF">
        <w:t>hotographie </w:t>
      </w:r>
      <w:r w:rsidRPr="00564FEF">
        <w:t xml:space="preserve">: </w:t>
      </w:r>
      <w:r w:rsidR="00CC17DE">
        <w:t>Jackie Cha</w:t>
      </w:r>
      <w:r w:rsidR="006D7F1D">
        <w:t>n</w:t>
      </w:r>
    </w:p>
    <w:p w14:paraId="54CC85C5" w14:textId="77777777" w:rsidR="006D7F1D" w:rsidRDefault="006D7F1D" w:rsidP="001C20A5">
      <w:pPr>
        <w:pStyle w:val="01berschriftERCO"/>
      </w:pPr>
    </w:p>
    <w:p w14:paraId="12602BF2" w14:textId="77777777" w:rsidR="006D7F1D" w:rsidRDefault="006D7F1D" w:rsidP="001C20A5">
      <w:pPr>
        <w:pStyle w:val="01berschriftERCO"/>
      </w:pPr>
    </w:p>
    <w:p w14:paraId="4545CFAD" w14:textId="77777777" w:rsidR="006D7F1D" w:rsidRDefault="006D7F1D" w:rsidP="001C20A5">
      <w:pPr>
        <w:pStyle w:val="01berschriftERCO"/>
      </w:pPr>
    </w:p>
    <w:p w14:paraId="1AECE7F6" w14:textId="77777777" w:rsidR="006D7F1D" w:rsidRDefault="006D7F1D" w:rsidP="001C20A5">
      <w:pPr>
        <w:pStyle w:val="01berschriftERCO"/>
      </w:pPr>
    </w:p>
    <w:p w14:paraId="3E25DC18" w14:textId="77777777" w:rsidR="006D7F1D" w:rsidRDefault="006D7F1D" w:rsidP="001C20A5">
      <w:pPr>
        <w:pStyle w:val="01berschriftERCO"/>
      </w:pPr>
    </w:p>
    <w:p w14:paraId="43784DC5" w14:textId="77777777" w:rsidR="006D7F1D" w:rsidRDefault="006D7F1D" w:rsidP="001C20A5">
      <w:pPr>
        <w:pStyle w:val="01berschriftERCO"/>
      </w:pPr>
    </w:p>
    <w:p w14:paraId="7F810F9E" w14:textId="77777777" w:rsidR="006D7F1D" w:rsidRDefault="006D7F1D" w:rsidP="001C20A5">
      <w:pPr>
        <w:pStyle w:val="01berschriftERCO"/>
      </w:pPr>
    </w:p>
    <w:p w14:paraId="7B33EC3A" w14:textId="77777777" w:rsidR="006D7F1D" w:rsidRDefault="006D7F1D" w:rsidP="001C20A5">
      <w:pPr>
        <w:pStyle w:val="01berschriftERCO"/>
      </w:pPr>
    </w:p>
    <w:p w14:paraId="504A3C13" w14:textId="77777777" w:rsidR="006D7F1D" w:rsidRDefault="006D7F1D" w:rsidP="001C20A5">
      <w:pPr>
        <w:pStyle w:val="01berschriftERCO"/>
      </w:pPr>
    </w:p>
    <w:p w14:paraId="60DB30D3" w14:textId="77777777" w:rsidR="006D7F1D" w:rsidRDefault="006D7F1D" w:rsidP="001C20A5">
      <w:pPr>
        <w:pStyle w:val="01berschriftERCO"/>
      </w:pPr>
    </w:p>
    <w:p w14:paraId="432CD51C" w14:textId="77777777" w:rsidR="006D7F1D" w:rsidRDefault="006D7F1D" w:rsidP="001C20A5">
      <w:pPr>
        <w:pStyle w:val="01berschriftERCO"/>
      </w:pPr>
    </w:p>
    <w:p w14:paraId="38E58FFF" w14:textId="77777777" w:rsidR="006D7F1D" w:rsidRPr="001C20A5" w:rsidRDefault="006D7F1D" w:rsidP="001C20A5">
      <w:pPr>
        <w:pStyle w:val="01berschriftERCO"/>
      </w:pPr>
    </w:p>
    <w:p w14:paraId="60960619" w14:textId="17EC6098"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w:t>
      </w:r>
      <w:r w:rsidRPr="006041AF">
        <w:rPr>
          <w:lang w:val="fr-FR"/>
        </w:rPr>
        <w:lastRenderedPageBreak/>
        <w:t>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21"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3FA8C" w14:textId="77777777" w:rsidR="00EE6699" w:rsidRDefault="00EE6699" w:rsidP="00AD04EA">
      <w:r>
        <w:separator/>
      </w:r>
    </w:p>
  </w:endnote>
  <w:endnote w:type="continuationSeparator" w:id="0">
    <w:p w14:paraId="33D7CC5D" w14:textId="77777777" w:rsidR="00EE6699" w:rsidRDefault="00EE669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2F0C2" w14:textId="77777777" w:rsidR="00EE6699" w:rsidRDefault="00EE6699" w:rsidP="00AD04EA">
      <w:r>
        <w:separator/>
      </w:r>
    </w:p>
  </w:footnote>
  <w:footnote w:type="continuationSeparator" w:id="0">
    <w:p w14:paraId="7CD82F94" w14:textId="77777777" w:rsidR="00EE6699" w:rsidRDefault="00EE669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4B4A70A"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194DD4">
      <w:rPr>
        <w:rFonts w:ascii="Arial" w:hAnsi="Arial" w:cs="Arial"/>
        <w:bCs/>
        <w:sz w:val="44"/>
        <w:szCs w:val="44"/>
        <w:lang w:val="en-US"/>
      </w:rPr>
      <w:t>06</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version texte</w:t>
    </w:r>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Responsable du contenu / RP</w:t>
    </w:r>
  </w:p>
  <w:p w14:paraId="69C84F10" w14:textId="77777777" w:rsidR="008353E5" w:rsidRPr="008353E5" w:rsidRDefault="008353E5" w:rsidP="008353E5">
    <w:pPr>
      <w:pStyle w:val="ERCOAdresse"/>
      <w:framePr w:wrap="around" w:y="11341"/>
      <w:rPr>
        <w:lang w:val="de-DE"/>
      </w:rPr>
    </w:pPr>
    <w:r w:rsidRPr="008353E5">
      <w:rPr>
        <w:lang w:val="de-DE"/>
      </w:rPr>
      <w:t>Brockhauser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r w:rsidRPr="00BA4DCC">
      <w:rPr>
        <w:lang w:val="de-DE"/>
      </w:rPr>
      <w:t>Allemagne</w:t>
    </w:r>
  </w:p>
  <w:p w14:paraId="138E46DD" w14:textId="77777777" w:rsidR="008353E5" w:rsidRPr="00BA4DCC" w:rsidRDefault="008353E5" w:rsidP="008353E5">
    <w:pPr>
      <w:pStyle w:val="ERCOAdresse"/>
      <w:framePr w:wrap="around" w:y="11341"/>
      <w:rPr>
        <w:lang w:val="de-DE"/>
      </w:rPr>
    </w:pPr>
    <w:r w:rsidRPr="00BA4DCC">
      <w:rPr>
        <w:lang w:val="de-DE"/>
      </w:rPr>
      <w:t>Tél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r w:rsidRPr="0026111D">
      <w:rPr>
        <w:b/>
        <w:lang w:val="de-DE"/>
      </w:rPr>
      <w:t xml:space="preserve">mai public relations GmbH </w:t>
    </w:r>
  </w:p>
  <w:p w14:paraId="7563EB02" w14:textId="77777777" w:rsidR="008353E5" w:rsidRPr="0026111D" w:rsidRDefault="008353E5" w:rsidP="008353E5">
    <w:pPr>
      <w:pStyle w:val="ERCOAdresse"/>
      <w:framePr w:wrap="around" w:y="11341"/>
      <w:rPr>
        <w:lang w:val="de-DE"/>
      </w:rPr>
    </w:pPr>
    <w:r w:rsidRPr="0026111D">
      <w:rPr>
        <w:lang w:val="de-DE"/>
      </w:rPr>
      <w:t>Arno Heitland</w:t>
    </w:r>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r w:rsidR="003E075D" w:rsidRPr="0026111D">
      <w:rPr>
        <w:lang w:val="de-DE"/>
      </w:rPr>
      <w:t xml:space="preserve">senior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r w:rsidRPr="00BA4DCC">
      <w:rPr>
        <w:lang w:val="de-DE"/>
      </w:rPr>
      <w:t>Allemagne</w:t>
    </w:r>
  </w:p>
  <w:p w14:paraId="7889EA54" w14:textId="77777777" w:rsidR="008353E5" w:rsidRPr="0026111D" w:rsidRDefault="008353E5" w:rsidP="008353E5">
    <w:pPr>
      <w:pStyle w:val="ERCOAdresse"/>
      <w:framePr w:wrap="around" w:y="11341"/>
    </w:pPr>
    <w:proofErr w:type="gramStart"/>
    <w:r w:rsidRPr="0026111D">
      <w:t>Tél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110F"/>
    <w:rsid w:val="000557D6"/>
    <w:rsid w:val="000618AD"/>
    <w:rsid w:val="000740B7"/>
    <w:rsid w:val="00077889"/>
    <w:rsid w:val="00086410"/>
    <w:rsid w:val="00097740"/>
    <w:rsid w:val="000B7899"/>
    <w:rsid w:val="000C0EAA"/>
    <w:rsid w:val="001174D0"/>
    <w:rsid w:val="001221C0"/>
    <w:rsid w:val="00124C2C"/>
    <w:rsid w:val="00181770"/>
    <w:rsid w:val="00194DD4"/>
    <w:rsid w:val="00197713"/>
    <w:rsid w:val="001A36DB"/>
    <w:rsid w:val="001B366A"/>
    <w:rsid w:val="001C20A5"/>
    <w:rsid w:val="0020679B"/>
    <w:rsid w:val="00213084"/>
    <w:rsid w:val="00213345"/>
    <w:rsid w:val="00235C8B"/>
    <w:rsid w:val="002477F2"/>
    <w:rsid w:val="0026111D"/>
    <w:rsid w:val="00286807"/>
    <w:rsid w:val="002C4663"/>
    <w:rsid w:val="002C545A"/>
    <w:rsid w:val="002D4468"/>
    <w:rsid w:val="002D5010"/>
    <w:rsid w:val="002F7A91"/>
    <w:rsid w:val="0032651D"/>
    <w:rsid w:val="00350907"/>
    <w:rsid w:val="00364306"/>
    <w:rsid w:val="003B4519"/>
    <w:rsid w:val="003C4DB0"/>
    <w:rsid w:val="003D0510"/>
    <w:rsid w:val="003D41ED"/>
    <w:rsid w:val="003E075D"/>
    <w:rsid w:val="004022AE"/>
    <w:rsid w:val="0040759C"/>
    <w:rsid w:val="0041375C"/>
    <w:rsid w:val="00431BFD"/>
    <w:rsid w:val="0044444E"/>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6041AF"/>
    <w:rsid w:val="0062334E"/>
    <w:rsid w:val="0065746E"/>
    <w:rsid w:val="00677DE6"/>
    <w:rsid w:val="006B27C9"/>
    <w:rsid w:val="006B6EE1"/>
    <w:rsid w:val="006C63ED"/>
    <w:rsid w:val="006C7FAA"/>
    <w:rsid w:val="006D1CB8"/>
    <w:rsid w:val="006D7F1D"/>
    <w:rsid w:val="006E7D03"/>
    <w:rsid w:val="006F6B8D"/>
    <w:rsid w:val="00701D42"/>
    <w:rsid w:val="00723B17"/>
    <w:rsid w:val="00724EBB"/>
    <w:rsid w:val="00744A7D"/>
    <w:rsid w:val="00746F23"/>
    <w:rsid w:val="00762A81"/>
    <w:rsid w:val="00775F2A"/>
    <w:rsid w:val="007C02E4"/>
    <w:rsid w:val="007D2085"/>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15314"/>
    <w:rsid w:val="00A22310"/>
    <w:rsid w:val="00A63B67"/>
    <w:rsid w:val="00A65F67"/>
    <w:rsid w:val="00A83A92"/>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17DE"/>
    <w:rsid w:val="00CC44BA"/>
    <w:rsid w:val="00CD6163"/>
    <w:rsid w:val="00CE34E1"/>
    <w:rsid w:val="00CF179C"/>
    <w:rsid w:val="00CF673B"/>
    <w:rsid w:val="00D12935"/>
    <w:rsid w:val="00D473E9"/>
    <w:rsid w:val="00D50C64"/>
    <w:rsid w:val="00D54984"/>
    <w:rsid w:val="00D61667"/>
    <w:rsid w:val="00D90289"/>
    <w:rsid w:val="00DC5072"/>
    <w:rsid w:val="00DF3C04"/>
    <w:rsid w:val="00E27767"/>
    <w:rsid w:val="00E34DA5"/>
    <w:rsid w:val="00E538B9"/>
    <w:rsid w:val="00E6557C"/>
    <w:rsid w:val="00E82F70"/>
    <w:rsid w:val="00EE6699"/>
    <w:rsid w:val="00F029C0"/>
    <w:rsid w:val="00F36251"/>
    <w:rsid w:val="00F425F7"/>
    <w:rsid w:val="00F44EEE"/>
    <w:rsid w:val="00F72144"/>
    <w:rsid w:val="00F725B1"/>
    <w:rsid w:val="00F860F9"/>
    <w:rsid w:val="00F95098"/>
    <w:rsid w:val="00FA587D"/>
    <w:rsid w:val="00FA6C3E"/>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character" w:customStyle="1" w:styleId="Ohne">
    <w:name w:val="Ohne"/>
    <w:rsid w:val="00407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1473/fr" TargetMode="External"/><Relationship Id="rId13" Type="http://schemas.openxmlformats.org/officeDocument/2006/relationships/hyperlink" Target="http://erco.com/press/3847/fr" TargetMode="External"/><Relationship Id="rId18" Type="http://schemas.openxmlformats.org/officeDocument/2006/relationships/hyperlink" Target="http://erco.com/press/6063/fr" TargetMode="External"/><Relationship Id="rId3" Type="http://schemas.openxmlformats.org/officeDocument/2006/relationships/webSettings" Target="webSettings.xml"/><Relationship Id="rId21" Type="http://schemas.openxmlformats.org/officeDocument/2006/relationships/hyperlink" Target="https://press.erco.com/fr" TargetMode="External"/><Relationship Id="rId7" Type="http://schemas.openxmlformats.org/officeDocument/2006/relationships/hyperlink" Target="http://www.erco.com/press/5746/fr" TargetMode="External"/><Relationship Id="rId12" Type="http://schemas.openxmlformats.org/officeDocument/2006/relationships/image" Target="media/image1.png"/><Relationship Id="rId17" Type="http://schemas.openxmlformats.org/officeDocument/2006/relationships/hyperlink" Target="http://erco.com/press/5747/fr"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rco.com/press/7079/fr" TargetMode="External"/><Relationship Id="rId20" Type="http://schemas.openxmlformats.org/officeDocument/2006/relationships/hyperlink" Target="http://www.erco.com" TargetMode="External"/><Relationship Id="rId1" Type="http://schemas.openxmlformats.org/officeDocument/2006/relationships/styles" Target="styles.xml"/><Relationship Id="rId6" Type="http://schemas.openxmlformats.org/officeDocument/2006/relationships/hyperlink" Target="http://www.erco.com/press/3847/fr" TargetMode="External"/><Relationship Id="rId11" Type="http://schemas.openxmlformats.org/officeDocument/2006/relationships/hyperlink" Target="https://www.erco.com/press/8023/fr"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erco.com/press/1473/fr" TargetMode="External"/><Relationship Id="rId23" Type="http://schemas.openxmlformats.org/officeDocument/2006/relationships/footer" Target="footer1.xml"/><Relationship Id="rId10" Type="http://schemas.openxmlformats.org/officeDocument/2006/relationships/hyperlink" Target="http://www.erco.com/press/7079/fr" TargetMode="External"/><Relationship Id="rId19" Type="http://schemas.openxmlformats.org/officeDocument/2006/relationships/hyperlink" Target="http://erco.com/press/5745/fr" TargetMode="External"/><Relationship Id="rId4" Type="http://schemas.openxmlformats.org/officeDocument/2006/relationships/footnotes" Target="footnotes.xml"/><Relationship Id="rId9" Type="http://schemas.openxmlformats.org/officeDocument/2006/relationships/hyperlink" Target="http://www.erco.com/press/1473/fr" TargetMode="External"/><Relationship Id="rId14" Type="http://schemas.openxmlformats.org/officeDocument/2006/relationships/hyperlink" Target="http://erco.com/press/5746/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1676</Words>
  <Characters>10563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10</cp:revision>
  <dcterms:created xsi:type="dcterms:W3CDTF">2025-01-20T09:45:00Z</dcterms:created>
  <dcterms:modified xsi:type="dcterms:W3CDTF">2025-06-26T08:56:00Z</dcterms:modified>
</cp:coreProperties>
</file>