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12B41" w14:textId="77777777" w:rsidR="006A2910" w:rsidRPr="006A2910" w:rsidRDefault="006A2910" w:rsidP="006A2910">
      <w:pPr>
        <w:spacing w:line="360" w:lineRule="auto"/>
        <w:rPr>
          <w:rFonts w:ascii="Arial" w:hAnsi="Arial" w:cs="Arial"/>
          <w:b/>
          <w:bCs/>
          <w:sz w:val="22"/>
          <w:szCs w:val="22"/>
          <w:lang w:val="en-US"/>
        </w:rPr>
      </w:pPr>
      <w:r w:rsidRPr="006A2910">
        <w:rPr>
          <w:rFonts w:ascii="Arial" w:hAnsi="Arial" w:cs="Arial"/>
          <w:b/>
          <w:bCs/>
          <w:sz w:val="22"/>
          <w:szCs w:val="22"/>
          <w:lang w:val="en-US"/>
        </w:rPr>
        <w:t>Serena y profesional: human centric lighting establece la pauta en el nuevo Centro de Atención al Ciudadano de VicRoads, ubicado en Ringwood, Melbourne</w:t>
      </w:r>
    </w:p>
    <w:p w14:paraId="3258FBF3" w14:textId="77777777" w:rsidR="003E3F4E" w:rsidRPr="006A2910" w:rsidRDefault="003E3F4E" w:rsidP="003E3F4E">
      <w:pPr>
        <w:spacing w:line="360" w:lineRule="auto"/>
        <w:rPr>
          <w:rFonts w:ascii="Arial" w:hAnsi="Arial" w:cs="Arial"/>
          <w:b/>
          <w:bCs/>
          <w:sz w:val="22"/>
          <w:szCs w:val="22"/>
          <w:lang w:val="en-US"/>
        </w:rPr>
      </w:pPr>
    </w:p>
    <w:p w14:paraId="63B11827" w14:textId="77777777" w:rsidR="006A2910" w:rsidRPr="006A2910" w:rsidRDefault="006A2910" w:rsidP="006A2910">
      <w:pPr>
        <w:spacing w:line="360" w:lineRule="auto"/>
        <w:rPr>
          <w:rFonts w:ascii="Arial" w:hAnsi="Arial" w:cs="Arial"/>
          <w:b/>
          <w:bCs/>
          <w:sz w:val="22"/>
          <w:szCs w:val="22"/>
          <w:lang w:val="en-US"/>
        </w:rPr>
      </w:pPr>
      <w:r w:rsidRPr="006A2910">
        <w:rPr>
          <w:rFonts w:ascii="Arial" w:hAnsi="Arial" w:cs="Arial"/>
          <w:b/>
          <w:bCs/>
          <w:sz w:val="22"/>
          <w:szCs w:val="22"/>
          <w:lang w:val="en-US"/>
        </w:rPr>
        <w:t>¿Cómo queremos trabajar hoy en día? Los requisitos exigidos a los entornos laborales modernos han cambiado rápidamente en los últimos años. La flexibilidad y el confort se han convertido en factores fundamentales a la hora de diseñar espacios de trabajo acordes a nuestros tiempos. En el nuevo edificio de 14.000m² del Centro de Atención al Ciudadano de VicRoads, ubicado en Ringwood, se recibe a más de 1.000 personas por semana, lo que implica que sus instalaciones estén a menudo repletas. La clave para conseguir que el centro fuera eficaz era transmitir una atmósfera de profesionalidad, serenidad y hospitalidad.</w:t>
      </w:r>
    </w:p>
    <w:p w14:paraId="48890B19" w14:textId="77777777" w:rsidR="003E3F4E" w:rsidRPr="003E3F4E" w:rsidRDefault="003E3F4E" w:rsidP="003E3F4E">
      <w:pPr>
        <w:spacing w:line="360" w:lineRule="auto"/>
        <w:rPr>
          <w:rFonts w:ascii="Arial" w:hAnsi="Arial" w:cs="Arial"/>
          <w:b/>
          <w:bCs/>
          <w:sz w:val="22"/>
          <w:szCs w:val="22"/>
          <w:lang w:val="es-ES"/>
        </w:rPr>
      </w:pPr>
    </w:p>
    <w:p w14:paraId="799F9A04" w14:textId="648A9E6F" w:rsidR="006A2910" w:rsidRPr="006A2910" w:rsidRDefault="006A2910" w:rsidP="006A2910">
      <w:pPr>
        <w:spacing w:line="360" w:lineRule="auto"/>
        <w:rPr>
          <w:rFonts w:ascii="Arial" w:hAnsi="Arial" w:cs="Arial"/>
          <w:sz w:val="22"/>
          <w:szCs w:val="22"/>
          <w:lang w:val="en-US"/>
        </w:rPr>
      </w:pPr>
      <w:r w:rsidRPr="006A2910">
        <w:rPr>
          <w:rFonts w:ascii="Arial" w:hAnsi="Arial" w:cs="Arial"/>
          <w:sz w:val="22"/>
          <w:szCs w:val="22"/>
          <w:lang w:val="en-US"/>
        </w:rPr>
        <w:t xml:space="preserve">Según Laurent Deleu, de la consultora de ingeniería multidisciplinar ADP, el mayor desafío al que tuvo que enfrentarse su equipo a la hora de diseñar la iluminación de los diversos espacios de oficina fue satisfacer las necesidades siempre cambiantes que implican un entorno laboral y un servicio de atención al ciudadano modernos, respetando a la vez los estrictos objetivos de sostenibilidad fijados por el departamento para la totalidad del proyecto. El enfoque de iluminación de ERCO, conforme a los principios de </w:t>
      </w:r>
      <w:hyperlink r:id="rId6" w:history="1">
        <w:r w:rsidRPr="006A2910">
          <w:rPr>
            <w:rStyle w:val="Hyperlink"/>
            <w:rFonts w:ascii="Arial" w:hAnsi="Arial" w:cs="Arial"/>
            <w:sz w:val="22"/>
            <w:szCs w:val="22"/>
            <w:lang w:val="en-US"/>
          </w:rPr>
          <w:t>human centric lighting</w:t>
        </w:r>
      </w:hyperlink>
      <w:r w:rsidRPr="006A2910">
        <w:rPr>
          <w:rFonts w:ascii="Arial" w:hAnsi="Arial" w:cs="Arial"/>
          <w:sz w:val="22"/>
          <w:szCs w:val="22"/>
          <w:lang w:val="en-US"/>
        </w:rPr>
        <w:t xml:space="preserve">, fue la clave. La incorporación del diseño de iluminación al diseño arquitectónico desde las primeras fases de planificación les permitió implementar la iluminación con la temperatura de color y la luminosidad adecuadas, precisamente en los lugares donde lo necesitaba la gente que iba a utilizar los espacios, pero empleando menos luminarias. «Todas las luminarias elegidas son LED muy eficientes y de alta calidad, que proporcionan una luz sin parpadeos. Se pueden controlar mediante un sistema de gestión y control de la iluminación programable y completamente direccionable. Se han implementado programas preestablecidos junto con detectores de movimiento para garantizar que la luz solo se encienda cuando se la necesite. Se han incorporado paneles de control de la iluminación en </w:t>
      </w:r>
      <w:r w:rsidRPr="006A2910">
        <w:rPr>
          <w:rFonts w:ascii="Arial" w:hAnsi="Arial" w:cs="Arial"/>
          <w:sz w:val="22"/>
          <w:szCs w:val="22"/>
          <w:lang w:val="en-US"/>
        </w:rPr>
        <w:lastRenderedPageBreak/>
        <w:t>distintas zonas, y la iluminación perimetral anexa a las ventanas está conectada a sensores de luz natural».</w:t>
      </w:r>
    </w:p>
    <w:p w14:paraId="7AE4898E" w14:textId="77777777" w:rsidR="006A2910" w:rsidRPr="006A2910" w:rsidRDefault="006A2910" w:rsidP="006A2910">
      <w:pPr>
        <w:spacing w:line="360" w:lineRule="auto"/>
        <w:rPr>
          <w:rFonts w:ascii="Arial" w:hAnsi="Arial" w:cs="Arial"/>
          <w:sz w:val="22"/>
          <w:szCs w:val="22"/>
          <w:lang w:val="en-US"/>
        </w:rPr>
      </w:pPr>
    </w:p>
    <w:p w14:paraId="2C7E0167" w14:textId="77777777" w:rsidR="006A2910" w:rsidRPr="006A2910" w:rsidRDefault="006A2910" w:rsidP="006A2910">
      <w:pPr>
        <w:spacing w:line="360" w:lineRule="auto"/>
        <w:rPr>
          <w:rFonts w:ascii="Arial" w:hAnsi="Arial" w:cs="Arial"/>
          <w:sz w:val="22"/>
          <w:szCs w:val="22"/>
          <w:lang w:val="en-US"/>
        </w:rPr>
      </w:pPr>
      <w:r w:rsidRPr="006A2910">
        <w:rPr>
          <w:rFonts w:ascii="Arial" w:hAnsi="Arial" w:cs="Arial"/>
          <w:b/>
          <w:bCs/>
          <w:sz w:val="22"/>
          <w:szCs w:val="22"/>
          <w:lang w:val="en-US"/>
        </w:rPr>
        <w:t>Luz para nuestra actividad laboral cotidiana</w:t>
      </w:r>
    </w:p>
    <w:p w14:paraId="790886C9" w14:textId="77777777" w:rsidR="006A2910" w:rsidRPr="006A2910" w:rsidRDefault="006A2910" w:rsidP="006A2910">
      <w:pPr>
        <w:spacing w:line="360" w:lineRule="auto"/>
        <w:rPr>
          <w:rFonts w:ascii="Arial" w:hAnsi="Arial" w:cs="Arial"/>
          <w:sz w:val="22"/>
          <w:szCs w:val="22"/>
          <w:lang w:val="en-US"/>
        </w:rPr>
      </w:pPr>
      <w:r w:rsidRPr="006A2910">
        <w:rPr>
          <w:rFonts w:ascii="Arial" w:hAnsi="Arial" w:cs="Arial"/>
          <w:sz w:val="22"/>
          <w:szCs w:val="22"/>
          <w:lang w:val="en-US"/>
        </w:rPr>
        <w:t xml:space="preserve">El predominio de la actividad laboral con uso de pantallas ha cambiado por completo la naturaleza del trabajo. Según un estudio realizado en EE.UU. en 2022, pasamos aproximadamente 13 horas diarias frente a una pantalla, y una parte considerable de estas horas las pasamos en la oficina. Este trabajo que realizamos en un escritorio, nos obliga a dirigir la vista hacia una pantalla retroiluminada, en vez de hacia la superficie del escritorio. Las paredes luminosas siempre han desempeñado un papel importante a la hora de definir el espacio, pero ahora son más importantes que nunca en los entornos de oficina, debido a este cambio en nuestra actividad laboral. Si mantenemos una luminosidad uniforme en las paredes, como ha hecho ADP en este caso con los bañadores de pared empotrables Compact de ERCO, se reduce el contraste entre la pantalla y el entorno, lo que resulta más agradable para la vista. </w:t>
      </w:r>
    </w:p>
    <w:p w14:paraId="5727B9F7" w14:textId="77777777" w:rsidR="006A2910" w:rsidRPr="006A2910" w:rsidRDefault="006A2910" w:rsidP="006A2910">
      <w:pPr>
        <w:spacing w:line="360" w:lineRule="auto"/>
        <w:rPr>
          <w:rFonts w:ascii="Arial" w:hAnsi="Arial" w:cs="Arial"/>
          <w:sz w:val="22"/>
          <w:szCs w:val="22"/>
          <w:lang w:val="en-US"/>
        </w:rPr>
      </w:pPr>
    </w:p>
    <w:p w14:paraId="2A1616C4" w14:textId="77777777" w:rsidR="006A2910" w:rsidRPr="006A2910" w:rsidRDefault="006A2910" w:rsidP="006A2910">
      <w:pPr>
        <w:spacing w:line="360" w:lineRule="auto"/>
        <w:rPr>
          <w:rFonts w:ascii="Arial" w:hAnsi="Arial" w:cs="Arial"/>
          <w:sz w:val="22"/>
          <w:szCs w:val="22"/>
          <w:lang w:val="en-US"/>
        </w:rPr>
      </w:pPr>
      <w:r w:rsidRPr="006A2910">
        <w:rPr>
          <w:rFonts w:ascii="Arial" w:hAnsi="Arial" w:cs="Arial"/>
          <w:sz w:val="22"/>
          <w:szCs w:val="22"/>
          <w:lang w:val="en-US"/>
        </w:rPr>
        <w:t xml:space="preserve">Otras dos ventajas que ofrece el diseño de iluminación perimetral son, primero, la posibilidad de iluminar lo que se encuentra en la pared, en este caso, las pizarras blancas que se utilizan para llevar a cabo lluvias de ideas, los armarios de oficina y las obras de arte, y, segundo, una buena orientación. La iluminación vertical aumenta notablemente la sensación de luminosidad de un espacio, y facilita las tareas visuales en el plano vertical.  </w:t>
      </w:r>
    </w:p>
    <w:p w14:paraId="2C743578" w14:textId="77777777" w:rsidR="006A2910" w:rsidRPr="006A2910" w:rsidRDefault="006A2910" w:rsidP="006A2910">
      <w:pPr>
        <w:spacing w:line="360" w:lineRule="auto"/>
        <w:rPr>
          <w:rFonts w:ascii="Arial" w:hAnsi="Arial" w:cs="Arial"/>
          <w:sz w:val="22"/>
          <w:szCs w:val="22"/>
          <w:lang w:val="en-US"/>
        </w:rPr>
      </w:pPr>
    </w:p>
    <w:p w14:paraId="01341563" w14:textId="45023AE1" w:rsidR="006A2910" w:rsidRPr="006A2910" w:rsidRDefault="006A2910" w:rsidP="006A2910">
      <w:pPr>
        <w:spacing w:line="360" w:lineRule="auto"/>
        <w:rPr>
          <w:rFonts w:ascii="Arial" w:hAnsi="Arial" w:cs="Arial"/>
          <w:sz w:val="22"/>
          <w:szCs w:val="22"/>
          <w:lang w:val="en-US"/>
        </w:rPr>
      </w:pPr>
      <w:r w:rsidRPr="006A2910">
        <w:rPr>
          <w:rFonts w:ascii="Arial" w:hAnsi="Arial" w:cs="Arial"/>
          <w:sz w:val="22"/>
          <w:szCs w:val="22"/>
          <w:lang w:val="en-US"/>
        </w:rPr>
        <w:t xml:space="preserve">La iluminación de acento de las superficies de trabajo continúa siendo un complemento importante para el ambiente que crea el bañado de pared. ADP optó por los downlights </w:t>
      </w:r>
      <w:hyperlink r:id="rId7" w:history="1">
        <w:r w:rsidRPr="006A2910">
          <w:rPr>
            <w:rStyle w:val="Hyperlink"/>
            <w:rFonts w:ascii="Arial" w:hAnsi="Arial" w:cs="Arial"/>
            <w:sz w:val="22"/>
            <w:szCs w:val="22"/>
            <w:lang w:val="en-US"/>
          </w:rPr>
          <w:t>Jilly</w:t>
        </w:r>
      </w:hyperlink>
      <w:r w:rsidRPr="006A2910">
        <w:rPr>
          <w:rFonts w:ascii="Arial" w:hAnsi="Arial" w:cs="Arial"/>
          <w:sz w:val="22"/>
          <w:szCs w:val="22"/>
          <w:lang w:val="en-US"/>
        </w:rPr>
        <w:t xml:space="preserve"> de ERCO para raíles electrificados, debido a su flexibilidad, a la calidad de la luz que proyectan y a sus ópticas con rejillas antideslumbrantes. El raíl electrificado lineal con las luminarias Jilly está instalado sobre los puestos de trabajo permanentes de esta oficina abierta. Los raíles electrificados forman un rectángulo perfecto que permite desplazar las </w:t>
      </w:r>
      <w:r w:rsidRPr="006A2910">
        <w:rPr>
          <w:rFonts w:ascii="Arial" w:hAnsi="Arial" w:cs="Arial"/>
          <w:sz w:val="22"/>
          <w:szCs w:val="22"/>
          <w:lang w:val="en-US"/>
        </w:rPr>
        <w:lastRenderedPageBreak/>
        <w:t xml:space="preserve">luminarias Jilly en este espacio de trabajo colectivo, conforme a las necesidades de los usuarios. De este modo, el espacio queda preparado para futuros cambios, en caso de que surjan otros requisitos en línea con los compromisos en materia de sostenibilidad del departamento, y del uso de los productos durante toda su vida útil. </w:t>
      </w:r>
    </w:p>
    <w:p w14:paraId="462533CE" w14:textId="77777777" w:rsidR="006A2910" w:rsidRPr="006A2910" w:rsidRDefault="006A2910" w:rsidP="006A2910">
      <w:pPr>
        <w:spacing w:line="360" w:lineRule="auto"/>
        <w:rPr>
          <w:rFonts w:ascii="Arial" w:hAnsi="Arial" w:cs="Arial"/>
          <w:sz w:val="22"/>
          <w:szCs w:val="22"/>
          <w:lang w:val="en-US"/>
        </w:rPr>
      </w:pPr>
    </w:p>
    <w:p w14:paraId="1C415290" w14:textId="77777777" w:rsidR="006A2910" w:rsidRPr="006A2910" w:rsidRDefault="006A2910" w:rsidP="006A2910">
      <w:pPr>
        <w:spacing w:line="360" w:lineRule="auto"/>
        <w:rPr>
          <w:rFonts w:ascii="Arial" w:hAnsi="Arial" w:cs="Arial"/>
          <w:sz w:val="22"/>
          <w:szCs w:val="22"/>
          <w:lang w:val="en-US"/>
        </w:rPr>
      </w:pPr>
      <w:r w:rsidRPr="006A2910">
        <w:rPr>
          <w:rFonts w:ascii="Arial" w:hAnsi="Arial" w:cs="Arial"/>
          <w:b/>
          <w:bCs/>
          <w:sz w:val="22"/>
          <w:szCs w:val="22"/>
          <w:lang w:val="en-US"/>
        </w:rPr>
        <w:t>Construido para cumplir su misión</w:t>
      </w:r>
    </w:p>
    <w:p w14:paraId="11090C66" w14:textId="77777777" w:rsidR="006A2910" w:rsidRPr="006A2910" w:rsidRDefault="006A2910" w:rsidP="006A2910">
      <w:pPr>
        <w:spacing w:line="360" w:lineRule="auto"/>
        <w:rPr>
          <w:rFonts w:ascii="Arial" w:hAnsi="Arial" w:cs="Arial"/>
          <w:sz w:val="22"/>
          <w:szCs w:val="22"/>
          <w:lang w:val="en-US"/>
        </w:rPr>
      </w:pPr>
      <w:r w:rsidRPr="006A2910">
        <w:rPr>
          <w:rFonts w:ascii="Arial" w:hAnsi="Arial" w:cs="Arial"/>
          <w:sz w:val="22"/>
          <w:szCs w:val="22"/>
          <w:lang w:val="en-US"/>
        </w:rPr>
        <w:t>Al tratarse de un edificio de nueva construcción, ADP pudo permitirse el lujo de cohesionar desde el principio el diseño de iluminación con la arquitectura. La temperatura de color y su intensidad son consistentes en cualquier lugar del espacio donde se encuentre el usuario. Como indica Michael Abdilia, de ADP, «las luminarias y fuentes de luz apenas visibles aportan un elevado confort visual, lo cual es importante para garantizar el bienestar del personal.»</w:t>
      </w:r>
    </w:p>
    <w:p w14:paraId="232D4D5E" w14:textId="77777777" w:rsidR="006A2910" w:rsidRPr="006A2910" w:rsidRDefault="006A2910" w:rsidP="006A2910">
      <w:pPr>
        <w:spacing w:line="360" w:lineRule="auto"/>
        <w:rPr>
          <w:rFonts w:ascii="Arial" w:hAnsi="Arial" w:cs="Arial"/>
          <w:sz w:val="22"/>
          <w:szCs w:val="22"/>
          <w:lang w:val="en-US"/>
        </w:rPr>
      </w:pPr>
    </w:p>
    <w:p w14:paraId="1BFDDE5A" w14:textId="5A7E45E4" w:rsidR="006A2910" w:rsidRPr="006A2910" w:rsidRDefault="006A2910" w:rsidP="006A2910">
      <w:pPr>
        <w:spacing w:line="360" w:lineRule="auto"/>
        <w:rPr>
          <w:rFonts w:ascii="Arial" w:hAnsi="Arial" w:cs="Arial"/>
          <w:sz w:val="22"/>
          <w:szCs w:val="22"/>
          <w:lang w:val="en-US"/>
        </w:rPr>
      </w:pPr>
      <w:r w:rsidRPr="006A2910">
        <w:rPr>
          <w:rFonts w:ascii="Arial" w:hAnsi="Arial" w:cs="Arial"/>
          <w:sz w:val="22"/>
          <w:szCs w:val="22"/>
          <w:lang w:val="en-US"/>
        </w:rPr>
        <w:t xml:space="preserve">Incluso los espacios reservados a cualquier otra actividad siguen la estética de la oficina principal. La combinación de la iluminación vertical, de una iluminación de ambiente flexible y de la iluminación de acento se puede adaptar fácilmente a actividades y tareas de iluminación especiales: </w:t>
      </w:r>
      <w:hyperlink r:id="rId8" w:history="1">
        <w:r w:rsidRPr="006A2910">
          <w:rPr>
            <w:rStyle w:val="Hyperlink"/>
            <w:rFonts w:ascii="Arial" w:hAnsi="Arial" w:cs="Arial"/>
            <w:sz w:val="22"/>
            <w:szCs w:val="22"/>
            <w:lang w:val="en-US"/>
          </w:rPr>
          <w:t>Jilly</w:t>
        </w:r>
      </w:hyperlink>
      <w:r w:rsidRPr="006A2910">
        <w:rPr>
          <w:rFonts w:ascii="Arial" w:hAnsi="Arial" w:cs="Arial"/>
          <w:sz w:val="22"/>
          <w:szCs w:val="22"/>
          <w:lang w:val="en-US"/>
        </w:rPr>
        <w:t xml:space="preserve"> para raíles electrificados ilumina suavemente la superficie de la mesa de la sala de juntas, mientras que los proyectores </w:t>
      </w:r>
      <w:hyperlink r:id="rId9" w:history="1">
        <w:r w:rsidRPr="006A2910">
          <w:rPr>
            <w:rStyle w:val="Hyperlink"/>
            <w:rFonts w:ascii="Arial" w:hAnsi="Arial" w:cs="Arial"/>
            <w:sz w:val="22"/>
            <w:szCs w:val="22"/>
            <w:lang w:val="en-US"/>
          </w:rPr>
          <w:t>Optec</w:t>
        </w:r>
      </w:hyperlink>
      <w:r w:rsidRPr="006A2910">
        <w:rPr>
          <w:rFonts w:ascii="Arial" w:hAnsi="Arial" w:cs="Arial"/>
          <w:sz w:val="22"/>
          <w:szCs w:val="22"/>
          <w:lang w:val="en-US"/>
        </w:rPr>
        <w:t xml:space="preserve"> perfilan las zonas de tránsito. El uso de bañadores de pared Compact de doble foco para iluminar las paredes del vestuario del aparcamiento de bicicletas supone una incorporación pequeña, pero muy inteligente, que permite iluminar dos paredes opuestas con una sola luminaria. Se dirige una luz nítida y eficaz hacia las cerraduras y el interior de las taquillas, pero la ausencia de luz directa desde el techo crea un entorno agradable, que invita al personal a charlar y disfrutar de un rato de ocio al final de la jornada laboral.</w:t>
      </w:r>
    </w:p>
    <w:p w14:paraId="7547D5F1" w14:textId="77777777" w:rsidR="006A2910" w:rsidRPr="006A2910" w:rsidRDefault="006A2910" w:rsidP="006A2910">
      <w:pPr>
        <w:spacing w:line="360" w:lineRule="auto"/>
        <w:rPr>
          <w:rFonts w:ascii="Arial" w:hAnsi="Arial" w:cs="Arial"/>
          <w:sz w:val="22"/>
          <w:szCs w:val="22"/>
          <w:lang w:val="en-US"/>
        </w:rPr>
      </w:pPr>
    </w:p>
    <w:p w14:paraId="5FE7880B" w14:textId="77777777" w:rsidR="006A2910" w:rsidRPr="006A2910" w:rsidRDefault="006A2910" w:rsidP="006A2910">
      <w:pPr>
        <w:spacing w:line="360" w:lineRule="auto"/>
        <w:rPr>
          <w:rFonts w:ascii="Arial" w:hAnsi="Arial" w:cs="Arial"/>
          <w:sz w:val="22"/>
          <w:szCs w:val="22"/>
          <w:lang w:val="en-US"/>
        </w:rPr>
      </w:pPr>
      <w:r w:rsidRPr="006A2910">
        <w:rPr>
          <w:rFonts w:ascii="Arial" w:hAnsi="Arial" w:cs="Arial"/>
          <w:b/>
          <w:bCs/>
          <w:sz w:val="22"/>
          <w:szCs w:val="22"/>
          <w:lang w:val="en-US"/>
        </w:rPr>
        <w:t>La comodidad del usuario</w:t>
      </w:r>
    </w:p>
    <w:p w14:paraId="505AF3D3" w14:textId="4E2D33F9" w:rsidR="006A2910" w:rsidRPr="006A2910" w:rsidRDefault="006A2910" w:rsidP="006A2910">
      <w:pPr>
        <w:spacing w:line="360" w:lineRule="auto"/>
        <w:rPr>
          <w:rFonts w:ascii="Arial" w:hAnsi="Arial" w:cs="Arial"/>
          <w:sz w:val="22"/>
          <w:szCs w:val="22"/>
          <w:lang w:val="en-US"/>
        </w:rPr>
      </w:pPr>
      <w:r w:rsidRPr="006A2910">
        <w:rPr>
          <w:rFonts w:ascii="Arial" w:hAnsi="Arial" w:cs="Arial"/>
          <w:sz w:val="22"/>
          <w:szCs w:val="22"/>
          <w:lang w:val="en-US"/>
        </w:rPr>
        <w:t xml:space="preserve">El diseño de iluminación que se eligió presenta los tipos de luz por excelencia que definió Richard Kelly. Los bañadores de pared </w:t>
      </w:r>
      <w:hyperlink r:id="rId10" w:history="1">
        <w:r w:rsidRPr="006A2910">
          <w:rPr>
            <w:rStyle w:val="Hyperlink"/>
            <w:rFonts w:ascii="Arial" w:hAnsi="Arial" w:cs="Arial"/>
            <w:sz w:val="22"/>
            <w:szCs w:val="22"/>
            <w:lang w:val="en-US"/>
          </w:rPr>
          <w:t>Parscan</w:t>
        </w:r>
      </w:hyperlink>
      <w:r w:rsidRPr="006A2910">
        <w:rPr>
          <w:rFonts w:ascii="Arial" w:hAnsi="Arial" w:cs="Arial"/>
          <w:sz w:val="22"/>
          <w:szCs w:val="22"/>
          <w:lang w:val="en-US"/>
        </w:rPr>
        <w:t xml:space="preserve"> para raíles electrificados y los downlights </w:t>
      </w:r>
      <w:hyperlink r:id="rId11" w:history="1">
        <w:r w:rsidRPr="006A2910">
          <w:rPr>
            <w:rStyle w:val="Hyperlink"/>
            <w:rFonts w:ascii="Arial" w:hAnsi="Arial" w:cs="Arial"/>
            <w:sz w:val="22"/>
            <w:szCs w:val="22"/>
            <w:lang w:val="en-US"/>
          </w:rPr>
          <w:t>Compar</w:t>
        </w:r>
      </w:hyperlink>
      <w:r w:rsidRPr="006A2910">
        <w:rPr>
          <w:rFonts w:ascii="Arial" w:hAnsi="Arial" w:cs="Arial"/>
          <w:sz w:val="22"/>
          <w:szCs w:val="22"/>
          <w:lang w:val="en-US"/>
        </w:rPr>
        <w:t xml:space="preserve">, discretamente </w:t>
      </w:r>
      <w:r w:rsidRPr="006A2910">
        <w:rPr>
          <w:rFonts w:ascii="Arial" w:hAnsi="Arial" w:cs="Arial"/>
          <w:sz w:val="22"/>
          <w:szCs w:val="22"/>
          <w:lang w:val="en-US"/>
        </w:rPr>
        <w:lastRenderedPageBreak/>
        <w:t xml:space="preserve">empotrados, aportan una iluminación de ambiente. Los proyectores complementarios Parscan acentúan las superficies de trabajo del personal, así como los prácticos mostradores donde los usuarios pueden realizar el papeleo. </w:t>
      </w:r>
    </w:p>
    <w:p w14:paraId="4C48B9B9" w14:textId="77777777" w:rsidR="006A2910" w:rsidRPr="006A2910" w:rsidRDefault="006A2910" w:rsidP="006A2910">
      <w:pPr>
        <w:spacing w:line="360" w:lineRule="auto"/>
        <w:rPr>
          <w:rFonts w:ascii="Arial" w:hAnsi="Arial" w:cs="Arial"/>
          <w:sz w:val="22"/>
          <w:szCs w:val="22"/>
          <w:lang w:val="en-US"/>
        </w:rPr>
      </w:pPr>
    </w:p>
    <w:p w14:paraId="1D09C068" w14:textId="77777777" w:rsidR="006A2910" w:rsidRPr="006A2910" w:rsidRDefault="006A2910" w:rsidP="006A2910">
      <w:pPr>
        <w:spacing w:line="360" w:lineRule="auto"/>
        <w:rPr>
          <w:rFonts w:ascii="Arial" w:hAnsi="Arial" w:cs="Arial"/>
          <w:sz w:val="22"/>
          <w:szCs w:val="22"/>
          <w:lang w:val="en-US"/>
        </w:rPr>
      </w:pPr>
      <w:r w:rsidRPr="006A2910">
        <w:rPr>
          <w:rFonts w:ascii="Arial" w:hAnsi="Arial" w:cs="Arial"/>
          <w:sz w:val="22"/>
          <w:szCs w:val="22"/>
          <w:lang w:val="en-US"/>
        </w:rPr>
        <w:t xml:space="preserve">A modo de conclusión, Deleu compara los resultados de VicRoads con la iluminación de oficinas típica de los últimos 50 años. «Resultaba incómodo cuestionar el enfoque de iluminación convencional, pero trabajar con ERCO y visitar algunos proyectos de referencia nos ayudó a confirmar que este era el enfoque adecuado para VicRoads, y para la iluminación de oficinas del siglo XXI.» Los excelentes comentarios del público y los usuarios satisfechos demuestran que se trataba, en efecto, de dinero público bien invertido. </w:t>
      </w:r>
    </w:p>
    <w:p w14:paraId="1A27133A" w14:textId="77777777" w:rsidR="006A2910" w:rsidRPr="006A2910" w:rsidRDefault="006A2910" w:rsidP="006A2910">
      <w:pPr>
        <w:spacing w:line="360" w:lineRule="auto"/>
        <w:rPr>
          <w:rFonts w:ascii="Arial" w:hAnsi="Arial" w:cs="Arial"/>
          <w:sz w:val="22"/>
          <w:szCs w:val="22"/>
          <w:lang w:val="en-US"/>
        </w:rPr>
      </w:pPr>
    </w:p>
    <w:p w14:paraId="50A7F468" w14:textId="0751D6CE" w:rsidR="006A2910" w:rsidRPr="006A2910" w:rsidRDefault="001C2794" w:rsidP="006A2910">
      <w:pPr>
        <w:spacing w:line="360" w:lineRule="auto"/>
        <w:rPr>
          <w:rFonts w:ascii="Arial" w:hAnsi="Arial" w:cs="Arial"/>
          <w:b/>
          <w:bCs/>
          <w:sz w:val="22"/>
          <w:szCs w:val="22"/>
          <w:u w:val="thick"/>
          <w:lang w:val="en-US"/>
        </w:rPr>
      </w:pPr>
      <w:hyperlink r:id="rId12" w:history="1">
        <w:r w:rsidR="006A2910" w:rsidRPr="001C2794">
          <w:rPr>
            <w:rStyle w:val="Hyperlink"/>
            <w:rFonts w:ascii="Arial" w:hAnsi="Arial" w:cs="Arial"/>
            <w:sz w:val="22"/>
            <w:szCs w:val="22"/>
            <w:lang w:val="en-US"/>
          </w:rPr>
          <w:t>Descargue</w:t>
        </w:r>
      </w:hyperlink>
      <w:r w:rsidR="006A2910" w:rsidRPr="006A2910">
        <w:rPr>
          <w:rFonts w:ascii="Arial" w:hAnsi="Arial" w:cs="Arial"/>
          <w:sz w:val="22"/>
          <w:szCs w:val="22"/>
          <w:lang w:val="en-US"/>
        </w:rPr>
        <w:t xml:space="preserve"> el </w:t>
      </w:r>
      <w:r w:rsidR="006A2910" w:rsidRPr="001C2794">
        <w:rPr>
          <w:rFonts w:ascii="Arial" w:hAnsi="Arial" w:cs="Arial"/>
          <w:b/>
          <w:bCs/>
          <w:sz w:val="22"/>
          <w:szCs w:val="22"/>
          <w:lang w:val="en-US"/>
        </w:rPr>
        <w:t>documento técnico sobre Human Centric Lighting</w:t>
      </w:r>
      <w:r w:rsidR="006A2910" w:rsidRPr="006A2910">
        <w:rPr>
          <w:rFonts w:ascii="Arial" w:hAnsi="Arial" w:cs="Arial"/>
          <w:sz w:val="22"/>
          <w:szCs w:val="22"/>
          <w:lang w:val="en-US"/>
        </w:rPr>
        <w:t>, en el que encontrará consejos de planificación y una lista de control para su próximo proyecto</w:t>
      </w:r>
      <w:r>
        <w:rPr>
          <w:rFonts w:ascii="Arial" w:hAnsi="Arial" w:cs="Arial"/>
          <w:sz w:val="22"/>
          <w:szCs w:val="22"/>
          <w:lang w:val="en-US"/>
        </w:rPr>
        <w:t>.</w:t>
      </w:r>
      <w:r w:rsidR="006A2910" w:rsidRPr="006A2910">
        <w:rPr>
          <w:rFonts w:ascii="Arial" w:hAnsi="Arial" w:cs="Arial"/>
          <w:sz w:val="22"/>
          <w:szCs w:val="22"/>
          <w:u w:val="thick"/>
          <w:lang w:val="en-US"/>
        </w:rPr>
        <w:br/>
      </w:r>
      <w:r w:rsidR="006A2910" w:rsidRPr="006A2910">
        <w:rPr>
          <w:rFonts w:ascii="Arial" w:hAnsi="Arial" w:cs="Arial"/>
          <w:sz w:val="22"/>
          <w:szCs w:val="22"/>
          <w:u w:val="thick"/>
          <w:lang w:val="en-US"/>
        </w:rPr>
        <w:br/>
      </w:r>
      <w:hyperlink r:id="rId13" w:history="1">
        <w:r w:rsidR="006A2910" w:rsidRPr="00C87692">
          <w:rPr>
            <w:rStyle w:val="Hyperlink"/>
            <w:rFonts w:ascii="Arial" w:hAnsi="Arial" w:cs="Arial"/>
            <w:sz w:val="22"/>
            <w:szCs w:val="22"/>
            <w:lang w:val="en-US"/>
          </w:rPr>
          <w:t>Enlace a la película</w:t>
        </w:r>
      </w:hyperlink>
    </w:p>
    <w:p w14:paraId="68194972" w14:textId="56581618" w:rsidR="006A2910" w:rsidRPr="006A2910" w:rsidRDefault="006A2910" w:rsidP="006A2910">
      <w:pPr>
        <w:spacing w:line="360" w:lineRule="auto"/>
        <w:rPr>
          <w:rFonts w:ascii="Arial" w:hAnsi="Arial" w:cs="Arial"/>
          <w:sz w:val="22"/>
          <w:szCs w:val="22"/>
          <w:lang w:val="en-US"/>
        </w:rPr>
      </w:pPr>
    </w:p>
    <w:p w14:paraId="046A69B9" w14:textId="77777777" w:rsidR="004B2172" w:rsidRPr="00421D02" w:rsidRDefault="004B2172" w:rsidP="00421D02">
      <w:pPr>
        <w:spacing w:line="360" w:lineRule="auto"/>
        <w:rPr>
          <w:rFonts w:ascii="Arial" w:hAnsi="Arial" w:cs="Arial"/>
          <w:sz w:val="22"/>
          <w:szCs w:val="22"/>
          <w:lang w:val="es-ES"/>
        </w:rPr>
      </w:pPr>
    </w:p>
    <w:p w14:paraId="21F51362" w14:textId="77777777" w:rsidR="00211642" w:rsidRDefault="00211642" w:rsidP="001A36DB">
      <w:pPr>
        <w:spacing w:line="360" w:lineRule="auto"/>
        <w:rPr>
          <w:rFonts w:ascii="Arial" w:eastAsia="Times New Roman" w:hAnsi="Arial" w:cs="Arial"/>
          <w:sz w:val="22"/>
          <w:szCs w:val="22"/>
          <w:shd w:val="clear" w:color="auto" w:fill="FFFFFF"/>
          <w:lang w:val="es-ES"/>
        </w:rPr>
      </w:pPr>
    </w:p>
    <w:p w14:paraId="6F809543" w14:textId="77777777" w:rsidR="00D54EF6" w:rsidRPr="00C76838" w:rsidRDefault="00D54EF6" w:rsidP="001A36DB">
      <w:pPr>
        <w:spacing w:line="360" w:lineRule="auto"/>
        <w:rPr>
          <w:rFonts w:ascii="Arial" w:eastAsia="Times New Roman" w:hAnsi="Arial" w:cs="Arial"/>
          <w:sz w:val="22"/>
          <w:szCs w:val="22"/>
          <w:shd w:val="clear" w:color="auto" w:fill="FFFFFF"/>
          <w:lang w:val="es-ES"/>
        </w:rPr>
      </w:pPr>
    </w:p>
    <w:p w14:paraId="7DFBCEE0" w14:textId="77777777" w:rsidR="00421D02" w:rsidRPr="004B2172" w:rsidRDefault="00421D02" w:rsidP="00213084">
      <w:pPr>
        <w:pStyle w:val="01berschriftERCO"/>
        <w:rPr>
          <w:b/>
          <w:bCs w:val="0"/>
          <w:lang w:val="es-ES"/>
        </w:rPr>
      </w:pPr>
    </w:p>
    <w:p w14:paraId="2A880BE5" w14:textId="65698AAB" w:rsidR="00AD04EA" w:rsidRPr="004B2172" w:rsidRDefault="00A22310" w:rsidP="00213084">
      <w:pPr>
        <w:pStyle w:val="01berschriftERCO"/>
        <w:rPr>
          <w:b/>
          <w:bCs w:val="0"/>
          <w:lang w:val="es-ES"/>
        </w:rPr>
      </w:pPr>
      <w:r w:rsidRPr="004B2172">
        <w:rPr>
          <w:b/>
          <w:bCs w:val="0"/>
          <w:lang w:val="es-ES"/>
        </w:rPr>
        <w:t>Datos del proyecto</w:t>
      </w:r>
    </w:p>
    <w:p w14:paraId="16C879ED" w14:textId="58D331BC" w:rsidR="00772EE7" w:rsidRPr="00772EE7" w:rsidRDefault="003E57CD" w:rsidP="00772EE7">
      <w:pPr>
        <w:pStyle w:val="01berschriftERCO"/>
        <w:spacing w:line="240" w:lineRule="auto"/>
        <w:ind w:left="2120" w:hanging="2120"/>
        <w:rPr>
          <w:sz w:val="20"/>
        </w:rPr>
      </w:pPr>
      <w:r w:rsidRPr="006A2910">
        <w:rPr>
          <w:sz w:val="20"/>
          <w:lang w:val="es-ES"/>
        </w:rPr>
        <w:t xml:space="preserve">Proyecto: </w:t>
      </w:r>
      <w:r w:rsidRPr="006A2910">
        <w:rPr>
          <w:sz w:val="20"/>
          <w:lang w:val="es-ES"/>
        </w:rPr>
        <w:tab/>
      </w:r>
      <w:r w:rsidRPr="006A2910">
        <w:rPr>
          <w:sz w:val="20"/>
          <w:lang w:val="es-ES"/>
        </w:rPr>
        <w:tab/>
      </w:r>
      <w:r w:rsidR="00772EE7" w:rsidRPr="00772EE7">
        <w:rPr>
          <w:sz w:val="20"/>
        </w:rPr>
        <w:t xml:space="preserve">Gobierno de Victoria, Departamento de </w:t>
      </w:r>
      <w:r w:rsidR="00772EE7" w:rsidRPr="00772EE7">
        <w:rPr>
          <w:sz w:val="20"/>
        </w:rPr>
        <w:tab/>
        <w:t xml:space="preserve">Fomento del Comercio Minorista, Servicio al </w:t>
      </w:r>
      <w:r w:rsidR="00772EE7" w:rsidRPr="00772EE7">
        <w:rPr>
          <w:sz w:val="20"/>
        </w:rPr>
        <w:tab/>
        <w:t>Ciudadano y Oficinas</w:t>
      </w:r>
    </w:p>
    <w:p w14:paraId="36494FAB" w14:textId="3A6A41F5" w:rsidR="003E57CD" w:rsidRPr="00772EE7" w:rsidRDefault="003E57CD" w:rsidP="00772EE7">
      <w:pPr>
        <w:pStyle w:val="01berschriftERCO"/>
        <w:spacing w:line="240" w:lineRule="auto"/>
        <w:rPr>
          <w:sz w:val="20"/>
          <w:lang w:val="es-ES"/>
        </w:rPr>
      </w:pPr>
      <w:r w:rsidRPr="006A2910">
        <w:rPr>
          <w:sz w:val="20"/>
          <w:lang w:val="es-ES"/>
        </w:rPr>
        <w:t xml:space="preserve">, </w:t>
      </w:r>
      <w:r w:rsidR="00772EE7">
        <w:rPr>
          <w:sz w:val="20"/>
          <w:lang w:val="es-ES"/>
        </w:rPr>
        <w:tab/>
      </w:r>
      <w:r w:rsidR="00772EE7">
        <w:rPr>
          <w:sz w:val="20"/>
          <w:lang w:val="es-ES"/>
        </w:rPr>
        <w:tab/>
      </w:r>
      <w:r w:rsidR="00772EE7">
        <w:rPr>
          <w:sz w:val="20"/>
          <w:lang w:val="es-ES"/>
        </w:rPr>
        <w:tab/>
      </w:r>
      <w:r w:rsidR="006A2910">
        <w:rPr>
          <w:sz w:val="20"/>
        </w:rPr>
        <w:t>Melbourne</w:t>
      </w:r>
      <w:r w:rsidRPr="003E57CD">
        <w:rPr>
          <w:sz w:val="20"/>
        </w:rPr>
        <w:t xml:space="preserve"> / </w:t>
      </w:r>
      <w:r w:rsidR="006A2910">
        <w:rPr>
          <w:sz w:val="20"/>
        </w:rPr>
        <w:t>Australia</w:t>
      </w:r>
    </w:p>
    <w:p w14:paraId="358213B6" w14:textId="77777777" w:rsidR="003E57CD" w:rsidRPr="003E57CD" w:rsidRDefault="003E57CD" w:rsidP="003E57CD">
      <w:pPr>
        <w:pStyle w:val="01berschriftERCO"/>
        <w:spacing w:line="240" w:lineRule="auto"/>
        <w:rPr>
          <w:sz w:val="20"/>
        </w:rPr>
      </w:pPr>
    </w:p>
    <w:p w14:paraId="231412DF" w14:textId="33C46794" w:rsidR="003E57CD" w:rsidRDefault="003E57CD" w:rsidP="003E57CD">
      <w:pPr>
        <w:pStyle w:val="01berschriftERCO"/>
        <w:spacing w:line="240" w:lineRule="auto"/>
        <w:ind w:left="2120" w:hanging="2120"/>
        <w:rPr>
          <w:sz w:val="20"/>
        </w:rPr>
      </w:pPr>
      <w:r w:rsidRPr="00B57682">
        <w:rPr>
          <w:sz w:val="20"/>
        </w:rPr>
        <w:t>Arquitectura:</w:t>
      </w:r>
      <w:r w:rsidRPr="00B57682">
        <w:rPr>
          <w:sz w:val="20"/>
        </w:rPr>
        <w:tab/>
      </w:r>
      <w:r w:rsidR="00772EE7">
        <w:rPr>
          <w:sz w:val="20"/>
        </w:rPr>
        <w:t>peckvonhartel</w:t>
      </w:r>
      <w:r w:rsidR="00B57682" w:rsidRPr="00B57682">
        <w:rPr>
          <w:sz w:val="20"/>
        </w:rPr>
        <w:t xml:space="preserve">, </w:t>
      </w:r>
      <w:r w:rsidR="006A2910">
        <w:rPr>
          <w:sz w:val="20"/>
        </w:rPr>
        <w:t>Melbourne</w:t>
      </w:r>
      <w:r w:rsidR="00B57682">
        <w:rPr>
          <w:sz w:val="20"/>
        </w:rPr>
        <w:t xml:space="preserve"> / </w:t>
      </w:r>
      <w:r w:rsidR="006A2910">
        <w:rPr>
          <w:sz w:val="20"/>
        </w:rPr>
        <w:t>Australia</w:t>
      </w:r>
    </w:p>
    <w:p w14:paraId="2C179D96" w14:textId="210553AB" w:rsidR="006A2910" w:rsidRDefault="006A2910" w:rsidP="003E57CD">
      <w:pPr>
        <w:pStyle w:val="01berschriftERCO"/>
        <w:spacing w:line="240" w:lineRule="auto"/>
        <w:ind w:left="2120" w:hanging="2120"/>
        <w:rPr>
          <w:sz w:val="20"/>
        </w:rPr>
      </w:pPr>
    </w:p>
    <w:p w14:paraId="29DDE4B9" w14:textId="77777777" w:rsidR="006A2910" w:rsidRPr="006A2910" w:rsidRDefault="006A2910" w:rsidP="006A2910">
      <w:pPr>
        <w:pStyle w:val="01berschriftERCO"/>
        <w:spacing w:line="240" w:lineRule="auto"/>
        <w:ind w:left="2120" w:hanging="2120"/>
        <w:rPr>
          <w:sz w:val="20"/>
        </w:rPr>
      </w:pPr>
      <w:r w:rsidRPr="006A2910">
        <w:rPr>
          <w:sz w:val="20"/>
        </w:rPr>
        <w:t xml:space="preserve">Diseño de </w:t>
      </w:r>
    </w:p>
    <w:p w14:paraId="6467883B" w14:textId="027D6F7D" w:rsidR="006A2910" w:rsidRPr="00B57682" w:rsidRDefault="006A2910" w:rsidP="006A2910">
      <w:pPr>
        <w:pStyle w:val="01berschriftERCO"/>
        <w:spacing w:line="240" w:lineRule="auto"/>
        <w:ind w:left="2120" w:hanging="2120"/>
        <w:rPr>
          <w:sz w:val="20"/>
        </w:rPr>
      </w:pPr>
      <w:r w:rsidRPr="006A2910">
        <w:rPr>
          <w:sz w:val="20"/>
        </w:rPr>
        <w:t xml:space="preserve">iluminación: </w:t>
      </w:r>
      <w:r w:rsidRPr="006A2910">
        <w:rPr>
          <w:sz w:val="20"/>
        </w:rPr>
        <w:tab/>
      </w:r>
      <w:r w:rsidRPr="006A2910">
        <w:rPr>
          <w:sz w:val="20"/>
        </w:rPr>
        <w:tab/>
        <w:t>ADP Consulting,</w:t>
      </w:r>
      <w:r>
        <w:rPr>
          <w:sz w:val="20"/>
        </w:rPr>
        <w:t xml:space="preserve"> </w:t>
      </w:r>
      <w:r w:rsidRPr="006A2910">
        <w:rPr>
          <w:sz w:val="20"/>
        </w:rPr>
        <w:t>Melbourne / Australia</w:t>
      </w:r>
    </w:p>
    <w:p w14:paraId="078E5839" w14:textId="77777777" w:rsidR="003E57CD" w:rsidRPr="00B57682" w:rsidRDefault="003E57CD" w:rsidP="003E57CD">
      <w:pPr>
        <w:pStyle w:val="01berschriftERCO"/>
        <w:spacing w:line="240" w:lineRule="auto"/>
        <w:rPr>
          <w:sz w:val="20"/>
        </w:rPr>
      </w:pPr>
    </w:p>
    <w:p w14:paraId="5AB3394D" w14:textId="3FB30C08" w:rsidR="00F029C0" w:rsidRPr="006A2910" w:rsidRDefault="003E57CD" w:rsidP="003E57CD">
      <w:pPr>
        <w:pStyle w:val="01berschriftERCO"/>
        <w:spacing w:line="240" w:lineRule="auto"/>
        <w:rPr>
          <w:sz w:val="20"/>
        </w:rPr>
      </w:pPr>
      <w:r w:rsidRPr="006A2910">
        <w:rPr>
          <w:sz w:val="20"/>
        </w:rPr>
        <w:t xml:space="preserve">Fotografía: </w:t>
      </w:r>
      <w:r w:rsidRPr="006A2910">
        <w:rPr>
          <w:sz w:val="20"/>
        </w:rPr>
        <w:tab/>
      </w:r>
      <w:r w:rsidRPr="006A2910">
        <w:rPr>
          <w:sz w:val="20"/>
        </w:rPr>
        <w:tab/>
      </w:r>
      <w:r w:rsidR="006A2910" w:rsidRPr="006A2910">
        <w:rPr>
          <w:sz w:val="20"/>
        </w:rPr>
        <w:t>Jackie Chan</w:t>
      </w:r>
      <w:r w:rsidRPr="006A2910">
        <w:rPr>
          <w:sz w:val="20"/>
        </w:rPr>
        <w:t xml:space="preserve">, </w:t>
      </w:r>
      <w:r w:rsidR="006A2910" w:rsidRPr="006A2910">
        <w:rPr>
          <w:sz w:val="20"/>
          <w:szCs w:val="20"/>
        </w:rPr>
        <w:t>Sydney</w:t>
      </w:r>
      <w:r w:rsidRPr="006A2910">
        <w:rPr>
          <w:sz w:val="20"/>
          <w:szCs w:val="20"/>
        </w:rPr>
        <w:t xml:space="preserve"> / </w:t>
      </w:r>
      <w:r w:rsidR="006A2910" w:rsidRPr="006A2910">
        <w:rPr>
          <w:sz w:val="20"/>
          <w:szCs w:val="20"/>
        </w:rPr>
        <w:t>Australia</w:t>
      </w:r>
      <w:r w:rsidRPr="006A2910">
        <w:rPr>
          <w:sz w:val="20"/>
          <w:szCs w:val="20"/>
        </w:rPr>
        <w:br/>
      </w:r>
    </w:p>
    <w:p w14:paraId="5BB3F84E" w14:textId="77139774" w:rsidR="004B4DB6" w:rsidRPr="003E3F4E" w:rsidRDefault="00A22310" w:rsidP="00211642">
      <w:pPr>
        <w:pStyle w:val="01berschriftERCO"/>
        <w:spacing w:line="240" w:lineRule="auto"/>
        <w:ind w:left="2120" w:hanging="2120"/>
        <w:rPr>
          <w:sz w:val="20"/>
          <w:szCs w:val="20"/>
        </w:rPr>
      </w:pPr>
      <w:r w:rsidRPr="003E3F4E">
        <w:rPr>
          <w:sz w:val="20"/>
          <w:szCs w:val="20"/>
        </w:rPr>
        <w:t>Productos</w:t>
      </w:r>
      <w:r w:rsidR="00F029C0" w:rsidRPr="003E3F4E">
        <w:rPr>
          <w:sz w:val="20"/>
          <w:szCs w:val="20"/>
        </w:rPr>
        <w:t>:</w:t>
      </w:r>
      <w:r w:rsidR="00F029C0" w:rsidRPr="003E3F4E">
        <w:rPr>
          <w:sz w:val="20"/>
          <w:szCs w:val="20"/>
        </w:rPr>
        <w:tab/>
      </w:r>
      <w:r w:rsidR="00F029C0" w:rsidRPr="003E3F4E">
        <w:rPr>
          <w:sz w:val="20"/>
          <w:szCs w:val="20"/>
        </w:rPr>
        <w:tab/>
      </w:r>
      <w:r w:rsidR="006A2910">
        <w:rPr>
          <w:sz w:val="20"/>
          <w:szCs w:val="20"/>
        </w:rPr>
        <w:t xml:space="preserve">Compar, Jilly, Optec, </w:t>
      </w:r>
      <w:r w:rsidR="00772EE7">
        <w:rPr>
          <w:sz w:val="20"/>
          <w:szCs w:val="20"/>
        </w:rPr>
        <w:t>P</w:t>
      </w:r>
      <w:r w:rsidR="006A2910">
        <w:rPr>
          <w:sz w:val="20"/>
          <w:szCs w:val="20"/>
        </w:rPr>
        <w:t>arscan</w:t>
      </w:r>
      <w:r w:rsidR="00D404F4" w:rsidRPr="003E3F4E">
        <w:br/>
      </w:r>
    </w:p>
    <w:p w14:paraId="2A28918B" w14:textId="7905A185" w:rsidR="00F029C0" w:rsidRPr="00CB6F97" w:rsidRDefault="00A22310" w:rsidP="00211642">
      <w:pPr>
        <w:pStyle w:val="01berschriftERCO"/>
        <w:spacing w:line="240" w:lineRule="auto"/>
        <w:rPr>
          <w:sz w:val="20"/>
          <w:szCs w:val="20"/>
        </w:rPr>
      </w:pPr>
      <w:r>
        <w:rPr>
          <w:sz w:val="20"/>
          <w:szCs w:val="20"/>
        </w:rPr>
        <w:t>Crédito fotográfico</w:t>
      </w:r>
      <w:r w:rsidR="00F029C0" w:rsidRPr="00CB6F97">
        <w:rPr>
          <w:sz w:val="20"/>
          <w:szCs w:val="20"/>
        </w:rPr>
        <w:t>:</w:t>
      </w:r>
      <w:r w:rsidR="00F029C0" w:rsidRPr="00CB6F97">
        <w:rPr>
          <w:sz w:val="20"/>
          <w:szCs w:val="20"/>
        </w:rPr>
        <w:tab/>
        <w:t>© ERCO GmbH, www.erco.com,</w:t>
      </w:r>
    </w:p>
    <w:p w14:paraId="73E8E286" w14:textId="0D0320ED" w:rsidR="00AD04EA" w:rsidRPr="006A2910" w:rsidRDefault="00A22310" w:rsidP="00211642">
      <w:pPr>
        <w:pStyle w:val="01berschriftERCO"/>
        <w:spacing w:line="240" w:lineRule="auto"/>
        <w:ind w:left="2120"/>
        <w:rPr>
          <w:sz w:val="20"/>
          <w:szCs w:val="20"/>
          <w:lang w:val="de-DE"/>
        </w:rPr>
      </w:pPr>
      <w:r w:rsidRPr="006A2910">
        <w:rPr>
          <w:sz w:val="20"/>
          <w:szCs w:val="20"/>
          <w:lang w:val="de-DE"/>
        </w:rPr>
        <w:t>fotografia</w:t>
      </w:r>
      <w:r w:rsidR="00F029C0" w:rsidRPr="006A2910">
        <w:rPr>
          <w:sz w:val="20"/>
          <w:szCs w:val="20"/>
          <w:lang w:val="de-DE"/>
        </w:rPr>
        <w:t xml:space="preserve">: </w:t>
      </w:r>
      <w:r w:rsidR="006A2910" w:rsidRPr="006A2910">
        <w:rPr>
          <w:sz w:val="20"/>
          <w:szCs w:val="20"/>
          <w:lang w:val="de-DE"/>
        </w:rPr>
        <w:t>Jackie Chan</w:t>
      </w:r>
    </w:p>
    <w:p w14:paraId="449E6271" w14:textId="77777777" w:rsidR="00772EE7" w:rsidRDefault="00772EE7" w:rsidP="00AD04EA">
      <w:pPr>
        <w:pStyle w:val="02TextERCO"/>
        <w:rPr>
          <w:b/>
          <w:bCs/>
        </w:rPr>
      </w:pPr>
    </w:p>
    <w:p w14:paraId="60960619" w14:textId="3CE55298" w:rsidR="00AD04EA" w:rsidRPr="00772EE7" w:rsidRDefault="00C8215C" w:rsidP="00AD04EA">
      <w:pPr>
        <w:pStyle w:val="02TextERCO"/>
        <w:rPr>
          <w:b/>
          <w:bCs/>
          <w:lang w:val="en-US"/>
        </w:rPr>
      </w:pPr>
      <w:r w:rsidRPr="006A2910">
        <w:rPr>
          <w:b/>
          <w:bCs/>
        </w:rPr>
        <w:lastRenderedPageBreak/>
        <w:t>Sobre</w:t>
      </w:r>
      <w:r w:rsidR="00AD04EA" w:rsidRPr="006A2910">
        <w:rPr>
          <w:b/>
          <w:bCs/>
        </w:rPr>
        <w:t xml:space="preserve"> ERCO</w:t>
      </w:r>
    </w:p>
    <w:p w14:paraId="76C856B3" w14:textId="77777777" w:rsidR="00CB0E5C" w:rsidRPr="00772EE7" w:rsidRDefault="00CB0E5C" w:rsidP="00AD04EA">
      <w:pPr>
        <w:pStyle w:val="02TextERCO"/>
        <w:rPr>
          <w:b/>
          <w:bCs/>
          <w:lang w:val="en-US"/>
        </w:rPr>
      </w:pPr>
    </w:p>
    <w:p w14:paraId="143840B4" w14:textId="77777777" w:rsidR="00C8215C" w:rsidRPr="00C8215C" w:rsidRDefault="00C8215C" w:rsidP="00C8215C">
      <w:pPr>
        <w:pStyle w:val="ERCOText"/>
        <w:rPr>
          <w:lang w:val="en-US"/>
        </w:rPr>
      </w:pPr>
      <w:r w:rsidRPr="00C8215C">
        <w:rPr>
          <w:lang w:val="en-US"/>
        </w:rPr>
        <w:t xml:space="preserve">ERCO es una empresa internacional especialista en la iluminación arquitectónica digital de calidad excelente. La empresa familiar, fundada en 1934, opera en 55 países de todo el mundo a través de </w:t>
      </w:r>
    </w:p>
    <w:p w14:paraId="4D17085D" w14:textId="77777777" w:rsidR="00C8215C" w:rsidRPr="00C8215C" w:rsidRDefault="00C8215C" w:rsidP="00C8215C">
      <w:pPr>
        <w:pStyle w:val="ERCOText"/>
        <w:rPr>
          <w:lang w:val="en-US"/>
        </w:rPr>
      </w:pPr>
      <w:r w:rsidRPr="00C8215C">
        <w:rPr>
          <w:lang w:val="en-US"/>
        </w:rPr>
        <w:t xml:space="preserve">organizaciones de distribución independientes y empresas asociadas. </w:t>
      </w:r>
    </w:p>
    <w:p w14:paraId="07A8C2DD" w14:textId="77777777" w:rsidR="00C8215C" w:rsidRPr="00C8215C" w:rsidRDefault="00C8215C" w:rsidP="00C8215C">
      <w:pPr>
        <w:pStyle w:val="ERCOText"/>
        <w:rPr>
          <w:lang w:val="en-US"/>
        </w:rPr>
      </w:pPr>
    </w:p>
    <w:p w14:paraId="70483B0D" w14:textId="77777777" w:rsidR="00C8215C" w:rsidRPr="00C8215C" w:rsidRDefault="00C8215C" w:rsidP="00C8215C">
      <w:pPr>
        <w:pStyle w:val="ERCOText"/>
        <w:rPr>
          <w:lang w:val="en-US"/>
        </w:rPr>
      </w:pPr>
      <w:r w:rsidRPr="00C8215C">
        <w:rPr>
          <w:lang w:val="en-US"/>
        </w:rPr>
        <w:t>En ERCO, entendemos la luz como la cuarta dimensión de la arquitectura y, por lo tanto, como parte integrante de la construcción sostenible. La luz es la contribución para mejorar la sociedad y la arquitectura, y proteger, del mismo modo, el medio ambiente. ERCO Greenology® – la estrategia empresarial para una iluminación sostenible – aúna la responsabilidad ecológica y la eficiencia tecnológica.</w:t>
      </w:r>
    </w:p>
    <w:p w14:paraId="1E0E465B" w14:textId="77777777" w:rsidR="00C8215C" w:rsidRPr="00C8215C" w:rsidRDefault="00C8215C" w:rsidP="00C8215C">
      <w:pPr>
        <w:pStyle w:val="ERCOText"/>
        <w:rPr>
          <w:lang w:val="en-US"/>
        </w:rPr>
      </w:pPr>
    </w:p>
    <w:p w14:paraId="24ADC270" w14:textId="77777777" w:rsidR="00C8215C" w:rsidRPr="00C8215C" w:rsidRDefault="00C8215C" w:rsidP="00C8215C">
      <w:pPr>
        <w:pStyle w:val="ERCOText"/>
        <w:rPr>
          <w:lang w:val="en-US"/>
        </w:rPr>
      </w:pPr>
      <w:r w:rsidRPr="00C8215C">
        <w:rPr>
          <w:lang w:val="en-US"/>
        </w:rPr>
        <w:t>En la fábrica de luz de Lüdenscheid,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Work y Culture, Community y Public/Outdoor, Contemplation, Living, Shop y Hospitality. Los expertos y expertas en iluminación de ERCO asesoran a diseñadores de todo el mundo para convertir en realidad sus proyectos con soluciones de iluminación de absoluta precisión, eficientes y sostenibles.</w:t>
      </w:r>
    </w:p>
    <w:p w14:paraId="39091110" w14:textId="77777777" w:rsidR="00C8215C" w:rsidRPr="00C8215C" w:rsidRDefault="00C8215C" w:rsidP="00C8215C">
      <w:pPr>
        <w:pStyle w:val="ERCOText"/>
        <w:rPr>
          <w:lang w:val="en-US"/>
        </w:rPr>
      </w:pPr>
    </w:p>
    <w:p w14:paraId="2BE06C81" w14:textId="75A54ABC" w:rsidR="00C8215C" w:rsidRPr="00C8215C" w:rsidRDefault="00C8215C" w:rsidP="00C8215C">
      <w:pPr>
        <w:pStyle w:val="ERCOText"/>
        <w:rPr>
          <w:lang w:val="en-US"/>
        </w:rPr>
      </w:pPr>
      <w:r w:rsidRPr="00C8215C">
        <w:rPr>
          <w:lang w:val="en-US"/>
        </w:rPr>
        <w:t xml:space="preserve">Si desea recibir información adicional o material gráfico acerca de ERCO, visítenos en </w:t>
      </w:r>
      <w:hyperlink r:id="rId14" w:history="1">
        <w:r w:rsidR="00D32E42">
          <w:rPr>
            <w:rStyle w:val="Hyperlink"/>
            <w:lang w:val="en-US"/>
          </w:rPr>
          <w:t>www.erco.com/press</w:t>
        </w:r>
      </w:hyperlink>
      <w:r w:rsidRPr="00C8215C">
        <w:rPr>
          <w:lang w:val="en-US"/>
        </w:rPr>
        <w:t>. Estaremos encantados de facilitarle también material relativo a proyectos en todo el mundo para elaborar su información.</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EFBE7" w14:textId="77777777" w:rsidR="00D10C61" w:rsidRDefault="00D10C61" w:rsidP="00AD04EA">
      <w:r>
        <w:separator/>
      </w:r>
    </w:p>
  </w:endnote>
  <w:endnote w:type="continuationSeparator" w:id="0">
    <w:p w14:paraId="4506F2D0" w14:textId="77777777" w:rsidR="00D10C61" w:rsidRDefault="00D10C61"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66DF6" w14:textId="77777777" w:rsidR="00D10C61" w:rsidRDefault="00D10C61" w:rsidP="00AD04EA">
      <w:r>
        <w:separator/>
      </w:r>
    </w:p>
  </w:footnote>
  <w:footnote w:type="continuationSeparator" w:id="0">
    <w:p w14:paraId="7D77CB91" w14:textId="77777777" w:rsidR="00D10C61" w:rsidRDefault="00D10C61"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BA32DC4" w:rsidR="00547FCF"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3E3F4E">
      <w:rPr>
        <w:rFonts w:ascii="Arial" w:hAnsi="Arial" w:cs="Arial"/>
        <w:bCs/>
        <w:sz w:val="44"/>
        <w:szCs w:val="44"/>
        <w:lang w:val="en-US"/>
      </w:rPr>
      <w:t>0</w:t>
    </w:r>
    <w:r w:rsidR="006A2910">
      <w:rPr>
        <w:rFonts w:ascii="Arial" w:hAnsi="Arial" w:cs="Arial"/>
        <w:bCs/>
        <w:sz w:val="44"/>
        <w:szCs w:val="44"/>
        <w:lang w:val="en-US"/>
      </w:rPr>
      <w:t>2</w:t>
    </w:r>
    <w:r w:rsidRPr="00C76838">
      <w:rPr>
        <w:rFonts w:ascii="Arial" w:hAnsi="Arial" w:cs="Arial"/>
        <w:bCs/>
        <w:sz w:val="44"/>
        <w:szCs w:val="44"/>
        <w:lang w:val="en-US"/>
      </w:rPr>
      <w:t>.202</w:t>
    </w:r>
    <w:r w:rsidR="003E3F4E">
      <w:rPr>
        <w:rFonts w:ascii="Arial" w:hAnsi="Arial" w:cs="Arial"/>
        <w:bCs/>
        <w:sz w:val="44"/>
        <w:szCs w:val="44"/>
        <w:lang w:val="en-US"/>
      </w:rPr>
      <w:t>3</w:t>
    </w:r>
  </w:p>
  <w:p w14:paraId="7F4B7229" w14:textId="77777777" w:rsidR="00A22310" w:rsidRPr="009A036E"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r w:rsidRPr="009A036E">
      <w:rPr>
        <w:rFonts w:ascii="Arial" w:hAnsi="Arial"/>
        <w:bCs/>
        <w:szCs w:val="24"/>
        <w:lang w:val="en-US"/>
      </w:rPr>
      <w:t>versión de texto</w:t>
    </w:r>
  </w:p>
  <w:p w14:paraId="70C99FD2" w14:textId="77777777" w:rsidR="00547FCF" w:rsidRPr="009A036E"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A036E">
      <w:rPr>
        <w:rFonts w:ascii="Arial" w:hAnsi="Arial" w:cs="Arial"/>
        <w:sz w:val="44"/>
        <w:szCs w:val="44"/>
        <w:lang w:val="en-US"/>
      </w:rPr>
      <w:tab/>
    </w:r>
  </w:p>
  <w:p w14:paraId="02052C83" w14:textId="77777777" w:rsidR="00547FCF" w:rsidRPr="009A036E"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9A036E" w:rsidRDefault="00000000" w:rsidP="007A5E47">
    <w:pPr>
      <w:pStyle w:val="ERCOAdresse"/>
      <w:framePr w:wrap="around" w:y="11341"/>
    </w:pPr>
  </w:p>
  <w:p w14:paraId="7ADE6E8A" w14:textId="77777777" w:rsidR="00547FCF" w:rsidRPr="009A036E" w:rsidRDefault="00000000" w:rsidP="007A5E47">
    <w:pPr>
      <w:pStyle w:val="ERCOAdresse"/>
      <w:framePr w:wrap="around" w:y="11341"/>
    </w:pPr>
  </w:p>
  <w:p w14:paraId="7650B0A0" w14:textId="77777777" w:rsidR="00A22310" w:rsidRPr="009A036E" w:rsidRDefault="00A22310" w:rsidP="00A22310">
    <w:pPr>
      <w:pStyle w:val="ERCOAdresse"/>
      <w:framePr w:wrap="around" w:y="11341"/>
      <w:rPr>
        <w:b/>
      </w:rPr>
    </w:pPr>
    <w:r w:rsidRPr="009A036E">
      <w:rPr>
        <w:b/>
      </w:rPr>
      <w:t>ERCO GmbH</w:t>
    </w:r>
  </w:p>
  <w:p w14:paraId="1094EA55" w14:textId="25956E73" w:rsidR="00A22310" w:rsidRPr="009A036E" w:rsidRDefault="00A22310" w:rsidP="00A22310">
    <w:pPr>
      <w:pStyle w:val="ERCOAdresse"/>
      <w:framePr w:wrap="around" w:y="11341"/>
    </w:pPr>
    <w:r w:rsidRPr="009A036E">
      <w:t xml:space="preserve">Katrin </w:t>
    </w:r>
    <w:r w:rsidR="00DD2970">
      <w:t>Klein</w:t>
    </w:r>
  </w:p>
  <w:p w14:paraId="3BEE6A43" w14:textId="77777777" w:rsidR="00A22310" w:rsidRDefault="00A22310" w:rsidP="00A22310">
    <w:pPr>
      <w:pStyle w:val="ERCOAdresse"/>
      <w:framePr w:wrap="around" w:y="11341"/>
    </w:pPr>
    <w:r>
      <w:t>Administradora de contenidos / RP</w:t>
    </w:r>
  </w:p>
  <w:p w14:paraId="446F6CB3" w14:textId="77777777" w:rsidR="00A22310" w:rsidRPr="009A036E" w:rsidRDefault="00A22310" w:rsidP="00A22310">
    <w:pPr>
      <w:pStyle w:val="ERCOAdresse"/>
      <w:framePr w:wrap="around" w:y="11341"/>
      <w:rPr>
        <w:lang w:val="de-DE"/>
      </w:rPr>
    </w:pPr>
    <w:r w:rsidRPr="009A036E">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r w:rsidRPr="00A22310">
      <w:rPr>
        <w:lang w:val="de-DE"/>
      </w:rPr>
      <w:t>Alemania</w:t>
    </w:r>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9A036E" w:rsidRDefault="00A22310" w:rsidP="00A22310">
    <w:pPr>
      <w:pStyle w:val="ERCOAdresse"/>
      <w:framePr w:wrap="around" w:y="11341"/>
      <w:rPr>
        <w:lang w:val="de-DE"/>
      </w:rPr>
    </w:pPr>
    <w:r w:rsidRPr="009A036E">
      <w:rPr>
        <w:lang w:val="de-DE"/>
      </w:rPr>
      <w:t>www.erco.com</w:t>
    </w:r>
  </w:p>
  <w:p w14:paraId="344ECD3B" w14:textId="77777777" w:rsidR="00A22310" w:rsidRPr="009A036E" w:rsidRDefault="00A22310" w:rsidP="00A22310">
    <w:pPr>
      <w:pStyle w:val="ERCOAdresse"/>
      <w:framePr w:wrap="around" w:y="11341"/>
      <w:rPr>
        <w:lang w:val="de-DE"/>
      </w:rPr>
    </w:pPr>
  </w:p>
  <w:p w14:paraId="4E2414EB" w14:textId="77777777" w:rsidR="00A22310" w:rsidRPr="009A036E"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r>
      <w:rPr>
        <w:b/>
      </w:rPr>
      <w:t xml:space="preserve">mai public relations GmbH </w:t>
    </w:r>
  </w:p>
  <w:p w14:paraId="07458900" w14:textId="77777777" w:rsidR="00A22310" w:rsidRPr="005627E1" w:rsidRDefault="00A22310" w:rsidP="00A22310">
    <w:pPr>
      <w:pStyle w:val="ERCOAdresse"/>
      <w:framePr w:wrap="around" w:y="11341"/>
    </w:pPr>
    <w:r>
      <w:t>Arno Heitland</w:t>
    </w:r>
  </w:p>
  <w:p w14:paraId="11A5752F" w14:textId="230B7413" w:rsidR="00A22310" w:rsidRPr="00DE2790" w:rsidRDefault="00A22310" w:rsidP="00A22310">
    <w:pPr>
      <w:pStyle w:val="ERCOAdresse"/>
      <w:framePr w:wrap="around" w:y="11341"/>
    </w:pPr>
    <w:r>
      <w:t>Consultores</w:t>
    </w:r>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10999 Berlín</w:t>
    </w:r>
  </w:p>
  <w:p w14:paraId="67F81D0F" w14:textId="77777777" w:rsidR="00A22310" w:rsidRPr="00C76838" w:rsidRDefault="00A22310" w:rsidP="00A22310">
    <w:pPr>
      <w:pStyle w:val="ERCOAdresse"/>
      <w:framePr w:wrap="around" w:y="11341"/>
      <w:rPr>
        <w:lang w:val="de-DE"/>
      </w:rPr>
    </w:pPr>
    <w:r w:rsidRPr="00C76838">
      <w:rPr>
        <w:lang w:val="de-DE"/>
      </w:rPr>
      <w:t>Alemania</w:t>
    </w:r>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374E8"/>
    <w:rsid w:val="000557D6"/>
    <w:rsid w:val="00077889"/>
    <w:rsid w:val="000E1310"/>
    <w:rsid w:val="001265D8"/>
    <w:rsid w:val="0019124B"/>
    <w:rsid w:val="001A36DB"/>
    <w:rsid w:val="001C2794"/>
    <w:rsid w:val="0020679B"/>
    <w:rsid w:val="00211642"/>
    <w:rsid w:val="00213084"/>
    <w:rsid w:val="00213345"/>
    <w:rsid w:val="00235C8B"/>
    <w:rsid w:val="00242593"/>
    <w:rsid w:val="002D4468"/>
    <w:rsid w:val="002D5010"/>
    <w:rsid w:val="00307114"/>
    <w:rsid w:val="00364306"/>
    <w:rsid w:val="003769FF"/>
    <w:rsid w:val="003B4519"/>
    <w:rsid w:val="003E3F4E"/>
    <w:rsid w:val="003E57CD"/>
    <w:rsid w:val="0041375C"/>
    <w:rsid w:val="00421D02"/>
    <w:rsid w:val="0045034D"/>
    <w:rsid w:val="004B2172"/>
    <w:rsid w:val="004B4DB6"/>
    <w:rsid w:val="004C2994"/>
    <w:rsid w:val="004C6F52"/>
    <w:rsid w:val="00515B27"/>
    <w:rsid w:val="0057397A"/>
    <w:rsid w:val="006A2910"/>
    <w:rsid w:val="006B6EE1"/>
    <w:rsid w:val="006D577B"/>
    <w:rsid w:val="006D6E8C"/>
    <w:rsid w:val="00701D42"/>
    <w:rsid w:val="00723B17"/>
    <w:rsid w:val="00772EE7"/>
    <w:rsid w:val="00833EFC"/>
    <w:rsid w:val="00843406"/>
    <w:rsid w:val="00856DAC"/>
    <w:rsid w:val="00950958"/>
    <w:rsid w:val="00981EBE"/>
    <w:rsid w:val="009A036E"/>
    <w:rsid w:val="009A250F"/>
    <w:rsid w:val="00A22310"/>
    <w:rsid w:val="00AC3F30"/>
    <w:rsid w:val="00AC77DC"/>
    <w:rsid w:val="00AD04EA"/>
    <w:rsid w:val="00AD1E6B"/>
    <w:rsid w:val="00AE3F91"/>
    <w:rsid w:val="00B13D3D"/>
    <w:rsid w:val="00B57682"/>
    <w:rsid w:val="00BC0C03"/>
    <w:rsid w:val="00BD421F"/>
    <w:rsid w:val="00C1350E"/>
    <w:rsid w:val="00C53576"/>
    <w:rsid w:val="00C76838"/>
    <w:rsid w:val="00C8215C"/>
    <w:rsid w:val="00C8484C"/>
    <w:rsid w:val="00C87692"/>
    <w:rsid w:val="00CA229A"/>
    <w:rsid w:val="00CB0E5C"/>
    <w:rsid w:val="00CB6F97"/>
    <w:rsid w:val="00CC44BA"/>
    <w:rsid w:val="00CF179C"/>
    <w:rsid w:val="00CF617F"/>
    <w:rsid w:val="00D10C61"/>
    <w:rsid w:val="00D32E42"/>
    <w:rsid w:val="00D404F4"/>
    <w:rsid w:val="00D54EF6"/>
    <w:rsid w:val="00DD2970"/>
    <w:rsid w:val="00DF3C04"/>
    <w:rsid w:val="00E34DA5"/>
    <w:rsid w:val="00E57FAA"/>
    <w:rsid w:val="00E6557C"/>
    <w:rsid w:val="00EB713E"/>
    <w:rsid w:val="00F029C0"/>
    <w:rsid w:val="00F47D72"/>
    <w:rsid w:val="00F5625F"/>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es" TargetMode="External"/><Relationship Id="rId13" Type="http://schemas.openxmlformats.org/officeDocument/2006/relationships/hyperlink" Target="https://youtu.be/3yR-129NwLY"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6915/es" TargetMode="External"/><Relationship Id="rId12" Type="http://schemas.openxmlformats.org/officeDocument/2006/relationships/hyperlink" Target="https://lightfinder.erco.com/es/contentaccess/page/download/media+whitepaper_hc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7320/es" TargetMode="External"/><Relationship Id="rId11" Type="http://schemas.openxmlformats.org/officeDocument/2006/relationships/hyperlink" Target="https://www.erco.com/press/6353/es"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1473/es" TargetMode="External"/><Relationship Id="rId4" Type="http://schemas.openxmlformats.org/officeDocument/2006/relationships/footnotes" Target="footnotes.xml"/><Relationship Id="rId9" Type="http://schemas.openxmlformats.org/officeDocument/2006/relationships/hyperlink" Target="https://www.erco.com/press/125/es" TargetMode="External"/><Relationship Id="rId14" Type="http://schemas.openxmlformats.org/officeDocument/2006/relationships/hyperlink" Target="https://press.erco.com/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1317</Words>
  <Characters>8300</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30</cp:revision>
  <dcterms:created xsi:type="dcterms:W3CDTF">2022-04-01T12:42:00Z</dcterms:created>
  <dcterms:modified xsi:type="dcterms:W3CDTF">2023-02-20T14:22:00Z</dcterms:modified>
</cp:coreProperties>
</file>