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4B599" w14:textId="5CD66967" w:rsidR="00103978" w:rsidRDefault="002C77B7">
      <w:pPr>
        <w:spacing w:line="280" w:lineRule="auto"/>
        <w:ind w:right="142"/>
        <w:jc w:val="both"/>
        <w:rPr>
          <w:rFonts w:ascii="Arial Narrow" w:eastAsia="Arial Narrow" w:hAnsi="Arial Narrow" w:cs="Arial Narrow"/>
          <w:sz w:val="22"/>
          <w:szCs w:val="22"/>
        </w:rPr>
      </w:pPr>
      <w:r>
        <w:rPr>
          <w:rFonts w:ascii="Trebuchet MS" w:eastAsia="Trebuchet MS" w:hAnsi="Trebuchet MS" w:cs="Trebuchet MS"/>
          <w:noProof/>
          <w:sz w:val="22"/>
          <w:szCs w:val="22"/>
        </w:rPr>
        <mc:AlternateContent>
          <mc:Choice Requires="wps">
            <w:drawing>
              <wp:anchor distT="0" distB="0" distL="114300" distR="114300" simplePos="0" relativeHeight="251658240" behindDoc="0" locked="0" layoutInCell="1" hidden="0" allowOverlap="1" wp14:anchorId="2A386007" wp14:editId="4FC8C6E8">
                <wp:simplePos x="0" y="0"/>
                <wp:positionH relativeFrom="page">
                  <wp:posOffset>1362076</wp:posOffset>
                </wp:positionH>
                <wp:positionV relativeFrom="topMargin">
                  <wp:posOffset>861061</wp:posOffset>
                </wp:positionV>
                <wp:extent cx="4879340" cy="687070"/>
                <wp:effectExtent l="0" t="0" r="0" b="0"/>
                <wp:wrapNone/>
                <wp:docPr id="1909406772" name="Rechteck 1909406772"/>
                <wp:cNvGraphicFramePr/>
                <a:graphic xmlns:a="http://schemas.openxmlformats.org/drawingml/2006/main">
                  <a:graphicData uri="http://schemas.microsoft.com/office/word/2010/wordprocessingShape">
                    <wps:wsp>
                      <wps:cNvSpPr/>
                      <wps:spPr>
                        <a:xfrm>
                          <a:off x="2915855" y="3445990"/>
                          <a:ext cx="4860290" cy="668020"/>
                        </a:xfrm>
                        <a:prstGeom prst="rect">
                          <a:avLst/>
                        </a:prstGeom>
                        <a:noFill/>
                        <a:ln>
                          <a:noFill/>
                        </a:ln>
                      </wps:spPr>
                      <wps:txbx>
                        <w:txbxContent>
                          <w:p w14:paraId="4AD9ED95" w14:textId="77777777" w:rsidR="00103978" w:rsidRDefault="002C77B7">
                            <w:pPr>
                              <w:jc w:val="both"/>
                              <w:textDirection w:val="btLr"/>
                            </w:pPr>
                            <w:r>
                              <w:rPr>
                                <w:rFonts w:ascii="Arial Narrow" w:eastAsia="Arial Narrow" w:hAnsi="Arial Narrow" w:cs="Arial Narrow"/>
                                <w:b/>
                                <w:color w:val="000000"/>
                                <w:sz w:val="26"/>
                              </w:rPr>
                              <w:t>Schneller, wirtschaftlicher, nachhaltiger:</w:t>
                            </w:r>
                          </w:p>
                          <w:p w14:paraId="2A70D8A4" w14:textId="34C5E635" w:rsidR="00103978" w:rsidRDefault="002C77B7">
                            <w:pPr>
                              <w:textDirection w:val="btLr"/>
                            </w:pPr>
                            <w:r>
                              <w:rPr>
                                <w:rFonts w:ascii="Arial Narrow" w:eastAsia="Arial Narrow" w:hAnsi="Arial Narrow" w:cs="Arial Narrow"/>
                                <w:b/>
                                <w:color w:val="000000"/>
                                <w:sz w:val="26"/>
                              </w:rPr>
                              <w:t>Serielle Sanierung mit Cedral und ecoworks</w:t>
                            </w:r>
                          </w:p>
                        </w:txbxContent>
                      </wps:txbx>
                      <wps:bodyPr spcFirstLastPara="1" wrap="square" lIns="79200" tIns="45700" rIns="91425" bIns="45700" anchor="t" anchorCtr="0">
                        <a:noAutofit/>
                      </wps:bodyPr>
                    </wps:wsp>
                  </a:graphicData>
                </a:graphic>
              </wp:anchor>
            </w:drawing>
          </mc:Choice>
          <mc:Fallback>
            <w:pict>
              <v:rect w14:anchorId="2A386007" id="Rechteck 1909406772" o:spid="_x0000_s1026" style="position:absolute;left:0;text-align:left;margin-left:107.25pt;margin-top:67.8pt;width:384.2pt;height:54.1pt;z-index:251658240;visibility:visible;mso-wrap-style:square;mso-wrap-distance-left:9pt;mso-wrap-distance-top:0;mso-wrap-distance-right:9pt;mso-wrap-distance-bottom:0;mso-position-horizontal:absolute;mso-position-horizontal-relative:page;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" filled="f" stroked="f">
                <v:textbox inset="2.2mm,1.2694mm,2.53958mm,1.2694mm">
                  <w:txbxContent>
                    <w:p w14:paraId="4AD9ED95" w14:textId="77777777" w:rsidR="00103978" w:rsidRDefault="002C77B7">
                      <w:pPr>
                        <w:jc w:val="both"/>
                        <w:textDirection w:val="btLr"/>
                      </w:pPr>
                      <w:r>
                        <w:rPr>
                          <w:rFonts w:ascii="Arial Narrow" w:eastAsia="Arial Narrow" w:hAnsi="Arial Narrow" w:cs="Arial Narrow"/>
                          <w:b/>
                          <w:color w:val="000000"/>
                          <w:sz w:val="26"/>
                        </w:rPr>
                        <w:t>Schneller, wirtschaftlicher, nachhaltiger:</w:t>
                      </w:r>
                    </w:p>
                    <w:p w14:paraId="2A70D8A4" w14:textId="34C5E635" w:rsidR="00103978" w:rsidRDefault="002C77B7">
                      <w:pPr>
                        <w:textDirection w:val="btLr"/>
                      </w:pPr>
                      <w:r>
                        <w:rPr>
                          <w:rFonts w:ascii="Arial Narrow" w:eastAsia="Arial Narrow" w:hAnsi="Arial Narrow" w:cs="Arial Narrow"/>
                          <w:b/>
                          <w:color w:val="000000"/>
                          <w:sz w:val="26"/>
                        </w:rPr>
                        <w:t>Serielle Sanierung mit Cedral und ecoworks</w:t>
                      </w:r>
                    </w:p>
                  </w:txbxContent>
                </v:textbox>
                <w10:wrap anchorx="page" anchory="margin"/>
              </v:rect>
            </w:pict>
          </mc:Fallback>
        </mc:AlternateContent>
      </w:r>
      <w:r w:rsidR="006A5F15">
        <w:rPr>
          <w:rFonts w:ascii="Arial Narrow" w:eastAsia="Arial Narrow" w:hAnsi="Arial Narrow" w:cs="Arial Narrow"/>
          <w:sz w:val="22"/>
          <w:szCs w:val="22"/>
        </w:rPr>
        <w:t>Köln</w:t>
      </w:r>
      <w:r>
        <w:rPr>
          <w:rFonts w:ascii="Arial Narrow" w:eastAsia="Arial Narrow" w:hAnsi="Arial Narrow" w:cs="Arial Narrow"/>
          <w:sz w:val="22"/>
          <w:szCs w:val="22"/>
        </w:rPr>
        <w:t>, 24. Februar 2026</w:t>
      </w:r>
    </w:p>
    <w:p w14:paraId="0657A246" w14:textId="77777777" w:rsidR="00103978" w:rsidRDefault="00103978">
      <w:pPr>
        <w:spacing w:line="280" w:lineRule="auto"/>
        <w:ind w:right="142"/>
        <w:jc w:val="both"/>
        <w:rPr>
          <w:rFonts w:ascii="Arial Narrow" w:eastAsia="Arial Narrow" w:hAnsi="Arial Narrow" w:cs="Arial Narrow"/>
          <w:sz w:val="22"/>
          <w:szCs w:val="22"/>
        </w:rPr>
      </w:pPr>
    </w:p>
    <w:p w14:paraId="6AF91C49" w14:textId="6823E422" w:rsidR="00103978" w:rsidRDefault="002C77B7">
      <w:pPr>
        <w:spacing w:line="280" w:lineRule="auto"/>
        <w:jc w:val="both"/>
        <w:rPr>
          <w:rFonts w:ascii="Arial Narrow" w:eastAsia="Arial Narrow" w:hAnsi="Arial Narrow" w:cs="Arial Narrow"/>
          <w:i/>
          <w:iCs/>
          <w:sz w:val="22"/>
          <w:szCs w:val="22"/>
        </w:rPr>
      </w:pPr>
      <w:r>
        <w:rPr>
          <w:rFonts w:ascii="Arial Narrow" w:eastAsia="Arial Narrow" w:hAnsi="Arial Narrow" w:cs="Arial Narrow"/>
          <w:i/>
          <w:iCs/>
          <w:sz w:val="22"/>
          <w:szCs w:val="22"/>
        </w:rPr>
        <w:t>Der Gebäudesektor steht vor einer gewaltigen Aufgabe: Um die nationalen und europäischen Klimaziele zu erreichen, muss die Sanierungsquote massiv gesteigert werden. Herkömmliche Methoden stoßen dabei oft an Grenzen hinsichtlich Kapazität und Wirtschaftlichkeit. Das Berliner Unternehmen ecoworks setzt hier auf die serielle Sanierung durch Fassaden- und Dachmodule in Holzhybridbauweise – ein industrieller Ansatz, der digitale Planung mit hocheffizienter Vorfertigung verbindet.</w:t>
      </w:r>
      <w:r w:rsidRPr="00E041DA">
        <w:rPr>
          <w:rFonts w:ascii="Arial Narrow" w:eastAsia="Arial Narrow" w:hAnsi="Arial Narrow" w:cs="Arial Narrow"/>
          <w:i/>
          <w:iCs/>
          <w:sz w:val="22"/>
          <w:szCs w:val="22"/>
        </w:rPr>
        <w:t xml:space="preserve"> Als robuste und ästhetische Hülle für die Fassadenmodule werden unter anderem auch Cedral Fassadenpaneele aus Faserzement eingesetzt.</w:t>
      </w:r>
    </w:p>
    <w:p w14:paraId="71BF19F2" w14:textId="77777777" w:rsidR="00103978" w:rsidRDefault="00103978">
      <w:pPr>
        <w:spacing w:line="280" w:lineRule="auto"/>
        <w:jc w:val="both"/>
        <w:rPr>
          <w:rFonts w:ascii="Arial Narrow" w:eastAsia="Arial Narrow" w:hAnsi="Arial Narrow" w:cs="Arial Narrow"/>
          <w:sz w:val="22"/>
          <w:szCs w:val="22"/>
        </w:rPr>
      </w:pPr>
    </w:p>
    <w:p w14:paraId="4B535BAA" w14:textId="77777777"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Digitale Präzision als Fundament</w:t>
      </w:r>
    </w:p>
    <w:p w14:paraId="57F0613F" w14:textId="578CEDC5" w:rsidR="00103978" w:rsidRDefault="00E041DA">
      <w:pPr>
        <w:spacing w:line="280" w:lineRule="auto"/>
        <w:jc w:val="both"/>
        <w:rPr>
          <w:rFonts w:ascii="Arial Narrow" w:eastAsia="Arial Narrow" w:hAnsi="Arial Narrow" w:cs="Arial Narrow"/>
          <w:sz w:val="22"/>
          <w:szCs w:val="22"/>
        </w:rPr>
      </w:pPr>
      <w:r w:rsidRPr="00E041DA">
        <w:rPr>
          <w:rFonts w:ascii="Arial Narrow" w:eastAsia="Arial Narrow" w:hAnsi="Arial Narrow" w:cs="Arial Narrow"/>
          <w:sz w:val="22"/>
          <w:szCs w:val="22"/>
        </w:rPr>
        <w:t>Die klassische Gebäudesanierung ist geprägt von witterungsabhängiger Baustellenarbeit und vielen aufeinanderfolgenden Gewerken. Ecoworks geht einen anderen Weg und organisiert als Generalübernehmer bis zu 80 Prozent der Arbeiten in standardisierten Vorfertigungsprozessen</w:t>
      </w:r>
      <w:r>
        <w:rPr>
          <w:rFonts w:ascii="Arial Narrow" w:eastAsia="Arial Narrow" w:hAnsi="Arial Narrow" w:cs="Arial Narrow"/>
          <w:sz w:val="22"/>
          <w:szCs w:val="22"/>
        </w:rPr>
        <w:t>.</w:t>
      </w:r>
      <w:r w:rsidRPr="00E041DA">
        <w:rPr>
          <w:rFonts w:ascii="Arial Narrow" w:eastAsia="Arial Narrow" w:hAnsi="Arial Narrow" w:cs="Arial Narrow"/>
          <w:sz w:val="22"/>
          <w:szCs w:val="22"/>
        </w:rPr>
        <w:t xml:space="preserve"> </w:t>
      </w:r>
      <w:r w:rsidR="002C77B7">
        <w:rPr>
          <w:rFonts w:ascii="Arial Narrow" w:eastAsia="Arial Narrow" w:hAnsi="Arial Narrow" w:cs="Arial Narrow"/>
          <w:sz w:val="22"/>
          <w:szCs w:val="22"/>
        </w:rPr>
        <w:t>Den Ausgangspunkt bildet dabei ein digitaler Prozess: Mittels 3D-Laserscans wird der Bestand millimetergenau erfasst. Auf Basis dieser Punktwolke entsteht ein digitaler Zwilling des Gebäudes, der als Grundlage für die automatisierte Planung der Fassaden- und Dachelemente dient.</w:t>
      </w:r>
    </w:p>
    <w:p w14:paraId="3BCF9B95" w14:textId="4C22E4F4"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Durch die Methode Building Information Modeling (BIM) wird der gesamte Sanierungsprozess digital abgebildet. KI-basierte Bilderkennung hilft zudem bereits im Vorfeld</w:t>
      </w:r>
      <w:r w:rsidR="00E041DA">
        <w:rPr>
          <w:rFonts w:ascii="Arial Narrow" w:eastAsia="Arial Narrow" w:hAnsi="Arial Narrow" w:cs="Arial Narrow"/>
          <w:sz w:val="22"/>
          <w:szCs w:val="22"/>
        </w:rPr>
        <w:t xml:space="preserve">, </w:t>
      </w:r>
      <w:r>
        <w:rPr>
          <w:rFonts w:ascii="Arial Narrow" w:eastAsia="Arial Narrow" w:hAnsi="Arial Narrow" w:cs="Arial Narrow"/>
          <w:sz w:val="22"/>
          <w:szCs w:val="22"/>
        </w:rPr>
        <w:t>Portfolios von Wohnungsbaugesellschaften zu analysieren und Gebäude zu identifizieren, die für serielle Sanierungsstrategien geeignet sind.</w:t>
      </w:r>
    </w:p>
    <w:p w14:paraId="269079F9" w14:textId="77777777" w:rsidR="00103978" w:rsidRDefault="00103978">
      <w:pPr>
        <w:spacing w:line="280" w:lineRule="auto"/>
        <w:jc w:val="both"/>
        <w:rPr>
          <w:rFonts w:ascii="Arial Narrow" w:eastAsia="Arial Narrow" w:hAnsi="Arial Narrow" w:cs="Arial Narrow"/>
          <w:sz w:val="22"/>
          <w:szCs w:val="22"/>
        </w:rPr>
      </w:pPr>
    </w:p>
    <w:p w14:paraId="0FA40CF1" w14:textId="77777777"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Die Fassade als multifunktionales Modul</w:t>
      </w:r>
    </w:p>
    <w:p w14:paraId="239137F8"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Das Herzstück des Konzepts sind die im Werk vorgefertigten Fassadenelemente in Holzhybridbauweise. Diese enthalten bereits ab Werk die Dämmung, Fenster, dezentrale Wohnraumlüftungen sowie die Fassadenbekleidung. Sogar neue Leitungsstränge für Heizung, Wasser oder Elektrik können in die Fassade integriert und über die Gebäudehülle geführt werden. Dies ermöglicht eine Sanierung im bewohnten Zustand, da die Eingriffe in den Innenräumen auf ein Minimum reduziert werden.</w:t>
      </w:r>
    </w:p>
    <w:p w14:paraId="151CE456" w14:textId="71B63D0E" w:rsidR="00103978" w:rsidRDefault="002C77B7">
      <w:pPr>
        <w:spacing w:line="280" w:lineRule="auto"/>
        <w:jc w:val="both"/>
        <w:rPr>
          <w:rFonts w:ascii="Arial Narrow" w:eastAsia="Arial Narrow" w:hAnsi="Arial Narrow" w:cs="Arial Narrow"/>
          <w:sz w:val="22"/>
          <w:szCs w:val="22"/>
        </w:rPr>
      </w:pPr>
      <w:r w:rsidRPr="00E041DA">
        <w:rPr>
          <w:rFonts w:ascii="Arial Narrow" w:eastAsia="Arial Narrow" w:hAnsi="Arial Narrow" w:cs="Arial Narrow"/>
          <w:sz w:val="22"/>
          <w:szCs w:val="22"/>
        </w:rPr>
        <w:t xml:space="preserve">Für die sichtbare Bekleidung dieser Module setzt ecoworks unter anderem Cedral Fassadenpaneele </w:t>
      </w:r>
      <w:r w:rsidR="006A5F15" w:rsidRPr="00E041DA">
        <w:rPr>
          <w:rFonts w:ascii="Arial Narrow" w:eastAsia="Arial Narrow" w:hAnsi="Arial Narrow" w:cs="Arial Narrow"/>
          <w:sz w:val="22"/>
          <w:szCs w:val="22"/>
        </w:rPr>
        <w:t xml:space="preserve">von Etex Germany Exteriors </w:t>
      </w:r>
      <w:r w:rsidRPr="00E041DA">
        <w:rPr>
          <w:rFonts w:ascii="Arial Narrow" w:eastAsia="Arial Narrow" w:hAnsi="Arial Narrow" w:cs="Arial Narrow"/>
          <w:sz w:val="22"/>
          <w:szCs w:val="22"/>
        </w:rPr>
        <w:t>ein.</w:t>
      </w:r>
      <w:r>
        <w:rPr>
          <w:rFonts w:ascii="Arial Narrow" w:eastAsia="Arial Narrow" w:hAnsi="Arial Narrow" w:cs="Arial Narrow"/>
          <w:sz w:val="22"/>
          <w:szCs w:val="22"/>
        </w:rPr>
        <w:t xml:space="preserve"> Das Material Faserzement bietet hierbei entscheidende Vorteile für die serielle Fertigung und den langfristigen Werterhalt.</w:t>
      </w:r>
    </w:p>
    <w:p w14:paraId="10707669" w14:textId="77777777" w:rsidR="00103978" w:rsidRDefault="00103978">
      <w:pPr>
        <w:spacing w:line="280" w:lineRule="auto"/>
        <w:jc w:val="both"/>
        <w:rPr>
          <w:rFonts w:ascii="Arial Narrow" w:eastAsia="Arial Narrow" w:hAnsi="Arial Narrow" w:cs="Arial Narrow"/>
          <w:sz w:val="22"/>
          <w:szCs w:val="22"/>
        </w:rPr>
      </w:pPr>
    </w:p>
    <w:p w14:paraId="457B5257" w14:textId="77777777"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Materialwahl: Schutz und Ästhetik mit Faserzement</w:t>
      </w:r>
    </w:p>
    <w:p w14:paraId="2712B64A" w14:textId="3ECA454A"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Die Cedral Paneele bestehen aus Portlandzement, Wasser, Zellstoff und Verstärkungsfasern – eine mineralische Zusammensetzung, die den Werkstoff sehr langlebig macht. Mit einer Lebenserwartung von mehr als 50 Jahren bietet Faserzement einen dauerhaften Schutz für die Gebäudehülle. In der seriellen Sanierung ist zudem die Widerstandsfähigkeit essenziell: Die Paneele sind nichtbrennbar (A2-s1, d0), frostbeständig und resistent gegen Schädlinge oder Pilzbefall. Ein besonderer Vorteil im Vergleich zu anderen Bekleidungsmaterialien </w:t>
      </w:r>
      <w:r w:rsidR="00E041DA">
        <w:rPr>
          <w:rFonts w:ascii="Arial Narrow" w:eastAsia="Arial Narrow" w:hAnsi="Arial Narrow" w:cs="Arial Narrow"/>
          <w:sz w:val="22"/>
          <w:szCs w:val="22"/>
        </w:rPr>
        <w:t xml:space="preserve">wie Putz und Holz </w:t>
      </w:r>
      <w:r>
        <w:rPr>
          <w:rFonts w:ascii="Arial Narrow" w:eastAsia="Arial Narrow" w:hAnsi="Arial Narrow" w:cs="Arial Narrow"/>
          <w:sz w:val="22"/>
          <w:szCs w:val="22"/>
        </w:rPr>
        <w:t xml:space="preserve">ist die Wartungsfreiheit: Die UV-beständige Farbbeschichtung macht ein regelmäßiges </w:t>
      </w:r>
      <w:r>
        <w:rPr>
          <w:rFonts w:ascii="Arial Narrow" w:eastAsia="Arial Narrow" w:hAnsi="Arial Narrow" w:cs="Arial Narrow"/>
          <w:sz w:val="22"/>
          <w:szCs w:val="22"/>
        </w:rPr>
        <w:lastRenderedPageBreak/>
        <w:t>Nachstreichen oder Ölen überflüssig, was die Lebenszykluskosten der sanierten Gebäude erheblich senkt.</w:t>
      </w:r>
    </w:p>
    <w:p w14:paraId="13E7F0D4" w14:textId="77777777" w:rsidR="00103978" w:rsidRDefault="00103978">
      <w:pPr>
        <w:spacing w:line="280" w:lineRule="auto"/>
        <w:jc w:val="both"/>
        <w:rPr>
          <w:rFonts w:ascii="Arial Narrow" w:eastAsia="Arial Narrow" w:hAnsi="Arial Narrow" w:cs="Arial Narrow"/>
          <w:sz w:val="22"/>
          <w:szCs w:val="22"/>
        </w:rPr>
      </w:pPr>
    </w:p>
    <w:p w14:paraId="440EB47B" w14:textId="77777777"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Industrielle Präzision in der Fertigung</w:t>
      </w:r>
    </w:p>
    <w:p w14:paraId="032EA6C2"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Die Paneele werden zumeist als klassische Stülpschalung montiert, was eine klare, strukturierte Linienführung erzeugt. Ein entscheidender Vorteil für ecoworks ist das geringe Gewicht der Paneele, das die statische Belastung der Holzhybridmodule sowie der Bestandsgebäude minimiert.</w:t>
      </w:r>
    </w:p>
    <w:p w14:paraId="2FC00C50" w14:textId="55C742BB"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In der Fabrik werden die Paneele auf die vorbereiteten Module geschraubt. Cedral liefert hierzu nicht nur die Bekleidung, sondern auch das abgestimmte Systemzubehör wie z. B. Befestigungsmittel oder </w:t>
      </w:r>
      <w:r w:rsidR="00F64416" w:rsidRPr="009C4831">
        <w:rPr>
          <w:rFonts w:ascii="Arial Narrow" w:eastAsia="Arial Narrow" w:hAnsi="Arial Narrow" w:cs="Arial Narrow"/>
          <w:sz w:val="22"/>
          <w:szCs w:val="22"/>
        </w:rPr>
        <w:t>Anschlussprofile</w:t>
      </w:r>
      <w:r w:rsidRPr="009C4831">
        <w:rPr>
          <w:rFonts w:ascii="Arial Narrow" w:eastAsia="Arial Narrow" w:hAnsi="Arial Narrow" w:cs="Arial Narrow"/>
          <w:sz w:val="22"/>
          <w:szCs w:val="22"/>
        </w:rPr>
        <w:t>.</w:t>
      </w:r>
      <w:r>
        <w:rPr>
          <w:rFonts w:ascii="Arial Narrow" w:eastAsia="Arial Narrow" w:hAnsi="Arial Narrow" w:cs="Arial Narrow"/>
          <w:sz w:val="22"/>
          <w:szCs w:val="22"/>
        </w:rPr>
        <w:t xml:space="preserve"> Einzelne Paneele können bei Bedarf direkt im Werk millimetergenau auf Maß geschnitten werden, um passende Übergänge an Modulkanten oder </w:t>
      </w:r>
      <w:r w:rsidRPr="009C4831">
        <w:rPr>
          <w:rFonts w:ascii="Arial Narrow" w:eastAsia="Arial Narrow" w:hAnsi="Arial Narrow" w:cs="Arial Narrow"/>
          <w:sz w:val="22"/>
          <w:szCs w:val="22"/>
        </w:rPr>
        <w:t>Fenster</w:t>
      </w:r>
      <w:r w:rsidR="00E041DA" w:rsidRPr="009C4831">
        <w:rPr>
          <w:rFonts w:ascii="Arial Narrow" w:eastAsia="Arial Narrow" w:hAnsi="Arial Narrow" w:cs="Arial Narrow"/>
          <w:sz w:val="22"/>
          <w:szCs w:val="22"/>
        </w:rPr>
        <w:t>- bzw. Tür</w:t>
      </w:r>
      <w:r w:rsidRPr="009C4831">
        <w:rPr>
          <w:rFonts w:ascii="Arial Narrow" w:eastAsia="Arial Narrow" w:hAnsi="Arial Narrow" w:cs="Arial Narrow"/>
          <w:sz w:val="22"/>
          <w:szCs w:val="22"/>
        </w:rPr>
        <w:t>anschlüssen</w:t>
      </w:r>
      <w:r w:rsidR="00F64416">
        <w:rPr>
          <w:rFonts w:ascii="Arial Narrow" w:eastAsia="Arial Narrow" w:hAnsi="Arial Narrow" w:cs="Arial Narrow"/>
          <w:sz w:val="22"/>
          <w:szCs w:val="22"/>
        </w:rPr>
        <w:t xml:space="preserve"> </w:t>
      </w:r>
      <w:r>
        <w:rPr>
          <w:rFonts w:ascii="Arial Narrow" w:eastAsia="Arial Narrow" w:hAnsi="Arial Narrow" w:cs="Arial Narrow"/>
          <w:sz w:val="22"/>
          <w:szCs w:val="22"/>
        </w:rPr>
        <w:t>zu gewährleisten. Dies sichert eine hohe Verarbeitungsqualität</w:t>
      </w:r>
      <w:r w:rsidR="00E041DA">
        <w:rPr>
          <w:rFonts w:ascii="Arial Narrow" w:eastAsia="Arial Narrow" w:hAnsi="Arial Narrow" w:cs="Arial Narrow"/>
          <w:sz w:val="22"/>
          <w:szCs w:val="22"/>
        </w:rPr>
        <w:t>.</w:t>
      </w:r>
    </w:p>
    <w:p w14:paraId="75A51681" w14:textId="77777777" w:rsidR="00103978" w:rsidRDefault="00103978">
      <w:pPr>
        <w:spacing w:line="280" w:lineRule="auto"/>
        <w:jc w:val="both"/>
        <w:rPr>
          <w:rFonts w:ascii="Arial Narrow" w:eastAsia="Arial Narrow" w:hAnsi="Arial Narrow" w:cs="Arial Narrow"/>
          <w:sz w:val="22"/>
          <w:szCs w:val="22"/>
        </w:rPr>
      </w:pPr>
    </w:p>
    <w:p w14:paraId="595D419B" w14:textId="77777777"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Projektbeispiel Lindenberg: Vom Nachkriegsbau zum Energieplushaus</w:t>
      </w:r>
    </w:p>
    <w:p w14:paraId="69AAC2FA"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Wie dieser Prozess in der Praxis aussieht, zeigt ein aktuelles Projekt in Lindenberg im Allgäu. Hier werden sechs Mehrfamilienhäuser aus den 1950er Jahren saniert. Ziel ist es, den anspruchsvollen Effizienzhaus-Standard 55 EE zu erreichen.</w:t>
      </w:r>
    </w:p>
    <w:p w14:paraId="5706F1B2"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Die Bestandsgebäude, die zuvor überwiegend mit Erdgas beheizt wurden und hohe Energieverluste aufwiesen, erhalten eine völlig neue energetische Hülle. Neben den mit Cedral Lap bekleideten Wandmodulen werden Luft-Wasser-Wärmepumpen installiert und Photovoltaikanlagen auf den Dächern zur Volleinspeisung genutzt.</w:t>
      </w:r>
    </w:p>
    <w:p w14:paraId="407323B0"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Die Ergebnisse der Sanierung sind beachtlich: Der Energiebedarf der Gebäude wird, laut Berechnungen von ecoworks, voraussichtlich um rund 91 Prozent sinken. Die CO2-Emissionen werden von rund 58 Kilogramm auf etwa 20 Kilogramm pro Quadratmeter Wohnfläche reduziert. Um den Wohnkomfort zu steigern, werden zudem alte Loggien entfernt und durch neue, vorgeständerte Balkone ersetzt.</w:t>
      </w:r>
    </w:p>
    <w:p w14:paraId="22836EA2" w14:textId="690EB9DF" w:rsidR="00991F4C"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Die architektonische Aufwertung wird hier besonders deutlich: Für die rund 1.900 Quadratmeter Fassadenfläche kommt ein differenziertes Farbkonzept mit Cedral Lap</w:t>
      </w:r>
      <w:r w:rsidR="00991F4C">
        <w:rPr>
          <w:rFonts w:ascii="Arial Narrow" w:eastAsia="Arial Narrow" w:hAnsi="Arial Narrow" w:cs="Arial Narrow"/>
          <w:sz w:val="22"/>
          <w:szCs w:val="22"/>
        </w:rPr>
        <w:t xml:space="preserve"> </w:t>
      </w:r>
      <w:r>
        <w:rPr>
          <w:rFonts w:ascii="Arial Narrow" w:eastAsia="Arial Narrow" w:hAnsi="Arial Narrow" w:cs="Arial Narrow"/>
          <w:sz w:val="22"/>
          <w:szCs w:val="22"/>
        </w:rPr>
        <w:t>zum Einsatz. Die Kombination aus Kieselgrau (C77), Kreideweiß (C01), Platingrau (C05) und Silbergrau (C51) bricht die Monotonie der alten Fassaden auf und verleiht dem Quartier eine moderne, lebendige Ästhetik. Die gewählten Grautöne harmonieren dabei mit den neuen Fensterrahmen in Anthrazit (RAL 7016).</w:t>
      </w:r>
    </w:p>
    <w:p w14:paraId="407115BB" w14:textId="77777777" w:rsidR="00E041DA" w:rsidRPr="00E041DA" w:rsidRDefault="00E041DA">
      <w:pPr>
        <w:spacing w:line="280" w:lineRule="auto"/>
        <w:jc w:val="both"/>
        <w:rPr>
          <w:rFonts w:ascii="Arial Narrow" w:eastAsia="Arial Narrow" w:hAnsi="Arial Narrow" w:cs="Arial Narrow"/>
          <w:sz w:val="22"/>
          <w:szCs w:val="22"/>
        </w:rPr>
      </w:pPr>
    </w:p>
    <w:p w14:paraId="676010EA" w14:textId="582F1D49"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Projektbeispiel Nürnberg: Skalierung im Geschosswohnungsbau</w:t>
      </w:r>
    </w:p>
    <w:p w14:paraId="6B75D9B8"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In Nürnberg schloss das Wohnungsunternehmen Dawonia kürzlich den ersten Bauabschnitt eines seriellen Sanierungsprojekts ab. Drei Mehrfamilienhäuser aus dem Jahr 1966 mit insgesamt 72 Wohnungen werden hier energetisch transformiert.</w:t>
      </w:r>
    </w:p>
    <w:p w14:paraId="232E4A3A" w14:textId="02B9B38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Durch den Einsatz der vorgefertigten Fassadenmodule konnte die Bauzeit für das erste Gebäude auf nur sieben Monate reduziert werden. Auch hier sorgt die neue Hülle mit </w:t>
      </w:r>
      <w:proofErr w:type="gramStart"/>
      <w:r>
        <w:rPr>
          <w:rFonts w:ascii="Arial Narrow" w:eastAsia="Arial Narrow" w:hAnsi="Arial Narrow" w:cs="Arial Narrow"/>
          <w:sz w:val="22"/>
          <w:szCs w:val="22"/>
        </w:rPr>
        <w:t xml:space="preserve">Cedral </w:t>
      </w:r>
      <w:r w:rsidR="00991F4C">
        <w:rPr>
          <w:rFonts w:ascii="Arial Narrow" w:eastAsia="Arial Narrow" w:hAnsi="Arial Narrow" w:cs="Arial Narrow"/>
          <w:sz w:val="22"/>
          <w:szCs w:val="22"/>
        </w:rPr>
        <w:t xml:space="preserve"> </w:t>
      </w:r>
      <w:r>
        <w:rPr>
          <w:rFonts w:ascii="Arial Narrow" w:eastAsia="Arial Narrow" w:hAnsi="Arial Narrow" w:cs="Arial Narrow"/>
          <w:sz w:val="22"/>
          <w:szCs w:val="22"/>
        </w:rPr>
        <w:t>Lap</w:t>
      </w:r>
      <w:proofErr w:type="gramEnd"/>
      <w:r w:rsidR="00991F4C">
        <w:rPr>
          <w:rFonts w:ascii="Arial Narrow" w:eastAsia="Arial Narrow" w:hAnsi="Arial Narrow" w:cs="Arial Narrow"/>
          <w:sz w:val="22"/>
          <w:szCs w:val="22"/>
        </w:rPr>
        <w:t xml:space="preserve"> </w:t>
      </w:r>
      <w:r>
        <w:rPr>
          <w:rFonts w:ascii="Arial Narrow" w:eastAsia="Arial Narrow" w:hAnsi="Arial Narrow" w:cs="Arial Narrow"/>
          <w:sz w:val="22"/>
          <w:szCs w:val="22"/>
        </w:rPr>
        <w:t xml:space="preserve">Paneelen und integrierter Dämmung dafür, dass die ursprünglichen Energieeffizienzklassen E und F auf das Niveau B und C gehoben werden. Der Endenergiebedarf sinkt, laut Berechnungen von ecoworks, voraussichtlich um durchschnittlich </w:t>
      </w:r>
      <w:r>
        <w:rPr>
          <w:rFonts w:ascii="Arial Narrow" w:eastAsia="Arial Narrow" w:hAnsi="Arial Narrow" w:cs="Arial Narrow"/>
          <w:sz w:val="22"/>
          <w:szCs w:val="22"/>
        </w:rPr>
        <w:lastRenderedPageBreak/>
        <w:t>41 Prozent. Für die Bekleidung der etwa 4.600 Quadratmeter großen Fassadenflächen wird eine Kombination aus platingrauen (C05) und weißen (C01) Cedral Lap</w:t>
      </w:r>
      <w:r w:rsidR="00991F4C">
        <w:rPr>
          <w:rFonts w:ascii="Arial Narrow" w:eastAsia="Arial Narrow" w:hAnsi="Arial Narrow" w:cs="Arial Narrow"/>
          <w:sz w:val="22"/>
          <w:szCs w:val="22"/>
        </w:rPr>
        <w:t xml:space="preserve"> </w:t>
      </w:r>
      <w:r>
        <w:rPr>
          <w:rFonts w:ascii="Arial Narrow" w:eastAsia="Arial Narrow" w:hAnsi="Arial Narrow" w:cs="Arial Narrow"/>
          <w:sz w:val="22"/>
          <w:szCs w:val="22"/>
        </w:rPr>
        <w:t>Paneelen verwendet.</w:t>
      </w:r>
    </w:p>
    <w:p w14:paraId="41E25994" w14:textId="77777777" w:rsidR="00103978" w:rsidRDefault="00103978">
      <w:pPr>
        <w:spacing w:line="280" w:lineRule="auto"/>
        <w:jc w:val="both"/>
        <w:rPr>
          <w:rFonts w:ascii="Arial Narrow" w:eastAsia="Arial Narrow" w:hAnsi="Arial Narrow" w:cs="Arial Narrow"/>
          <w:sz w:val="22"/>
          <w:szCs w:val="22"/>
        </w:rPr>
      </w:pPr>
    </w:p>
    <w:p w14:paraId="239359AF" w14:textId="101E5ECF" w:rsidR="00103978" w:rsidRDefault="002C77B7">
      <w:pPr>
        <w:spacing w:line="280" w:lineRule="auto"/>
        <w:jc w:val="both"/>
        <w:rPr>
          <w:rFonts w:ascii="Arial Narrow" w:eastAsia="Arial Narrow" w:hAnsi="Arial Narrow" w:cs="Arial Narrow"/>
          <w:i/>
          <w:iCs/>
          <w:sz w:val="22"/>
          <w:szCs w:val="22"/>
        </w:rPr>
      </w:pPr>
      <w:r>
        <w:rPr>
          <w:rFonts w:ascii="Arial Narrow" w:eastAsia="Arial Narrow" w:hAnsi="Arial Narrow" w:cs="Arial Narrow"/>
          <w:i/>
          <w:iCs/>
          <w:sz w:val="22"/>
          <w:szCs w:val="22"/>
        </w:rPr>
        <w:t xml:space="preserve">„Die Zusammenarbeit mit ecoworks an diesen wegweisenden Projekten hat gezeigt, wie kraftvoll die Verbindung aus digitaler Innovation und bewährten Materiallösungen ist“, erklärt Ole Franke, Fachberater Cedral &amp; Eternit bei Etex Germany Exteriors. „Wir sind dankbar für das große Vertrauen in unsere Fassadensysteme. Es ist beeindruckend zu sehen, wie mit unseren Paneelen dank einer automatisierten Fertigung binnen kürzester Zeit eine neue, hocheffiziente Gebäudehülle entsteht. Darauf wollen wir </w:t>
      </w:r>
      <w:r w:rsidR="00991F4C" w:rsidRPr="009C4831">
        <w:rPr>
          <w:rFonts w:ascii="Arial Narrow" w:eastAsia="Arial Narrow" w:hAnsi="Arial Narrow" w:cs="Arial Narrow"/>
          <w:i/>
          <w:iCs/>
          <w:sz w:val="22"/>
          <w:szCs w:val="22"/>
        </w:rPr>
        <w:t>zukünf</w:t>
      </w:r>
      <w:r w:rsidR="000A32E6">
        <w:rPr>
          <w:rFonts w:ascii="Arial Narrow" w:eastAsia="Arial Narrow" w:hAnsi="Arial Narrow" w:cs="Arial Narrow"/>
          <w:i/>
          <w:iCs/>
          <w:sz w:val="22"/>
          <w:szCs w:val="22"/>
        </w:rPr>
        <w:t>tig</w:t>
      </w:r>
      <w:r w:rsidR="00991F4C">
        <w:rPr>
          <w:rFonts w:ascii="Arial Narrow" w:eastAsia="Arial Narrow" w:hAnsi="Arial Narrow" w:cs="Arial Narrow"/>
          <w:i/>
          <w:iCs/>
          <w:sz w:val="22"/>
          <w:szCs w:val="22"/>
        </w:rPr>
        <w:t xml:space="preserve"> </w:t>
      </w:r>
      <w:r>
        <w:rPr>
          <w:rFonts w:ascii="Arial Narrow" w:eastAsia="Arial Narrow" w:hAnsi="Arial Narrow" w:cs="Arial Narrow"/>
          <w:i/>
          <w:iCs/>
          <w:sz w:val="22"/>
          <w:szCs w:val="22"/>
        </w:rPr>
        <w:t>gemeinsam mit ecoworks weiter aufbauen.“</w:t>
      </w:r>
    </w:p>
    <w:p w14:paraId="66E45D06" w14:textId="77777777" w:rsidR="00103978" w:rsidRDefault="00103978">
      <w:pPr>
        <w:spacing w:line="280" w:lineRule="auto"/>
        <w:jc w:val="both"/>
        <w:rPr>
          <w:rFonts w:ascii="Arial Narrow" w:eastAsia="Arial Narrow" w:hAnsi="Arial Narrow" w:cs="Arial Narrow"/>
          <w:sz w:val="22"/>
          <w:szCs w:val="22"/>
        </w:rPr>
      </w:pPr>
    </w:p>
    <w:p w14:paraId="61D18FD6" w14:textId="77777777"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Zukunftsweisend: Zirkularität und Ressourceneffizienz</w:t>
      </w:r>
    </w:p>
    <w:p w14:paraId="3F87EAB8" w14:textId="68DAD268"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Ein zentraler Aspekt der Partnerschaft ist die Nachhaltigkeit über den gesamten Lebenszyklus. Da ecoworks auf Holzhybridmodule setzt und Cedral Paneele aus mineralischen Rohstoffen bestehen, ist das gesamte System auf Rückbaubarkeit ausgelegt. Am Ende der Nutzungsdauer lassen sich die Fa</w:t>
      </w:r>
      <w:r w:rsidR="006A5F15">
        <w:rPr>
          <w:rFonts w:ascii="Arial Narrow" w:eastAsia="Arial Narrow" w:hAnsi="Arial Narrow" w:cs="Arial Narrow"/>
          <w:sz w:val="22"/>
          <w:szCs w:val="22"/>
        </w:rPr>
        <w:t>ssadene</w:t>
      </w:r>
      <w:r>
        <w:rPr>
          <w:rFonts w:ascii="Arial Narrow" w:eastAsia="Arial Narrow" w:hAnsi="Arial Narrow" w:cs="Arial Narrow"/>
          <w:sz w:val="22"/>
          <w:szCs w:val="22"/>
        </w:rPr>
        <w:t>lemente sortenrein trennen und dem Wertstoffkreislauf wieder zuführen.</w:t>
      </w:r>
    </w:p>
    <w:p w14:paraId="5C4476D9" w14:textId="77777777" w:rsidR="00103978" w:rsidRDefault="00103978">
      <w:pPr>
        <w:spacing w:line="280" w:lineRule="auto"/>
        <w:jc w:val="both"/>
        <w:rPr>
          <w:rFonts w:ascii="Arial Narrow" w:eastAsia="Arial Narrow" w:hAnsi="Arial Narrow" w:cs="Arial Narrow"/>
          <w:sz w:val="22"/>
          <w:szCs w:val="22"/>
        </w:rPr>
      </w:pPr>
    </w:p>
    <w:p w14:paraId="49905326" w14:textId="77777777"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Fazit: Die Wärmewende braucht serielle Lösungen</w:t>
      </w:r>
    </w:p>
    <w:p w14:paraId="40D2BD5C" w14:textId="3CF3ED1D"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Die serielle Sanierung bietet eine schlüsselfertige Antwort auf den Fachkräftemangel und den immensen Zeitdruck bei der Erreichung der Klimaziele im Bausektor. Durch die industrielle Vorfertigung wird Sanierungskapazität planbar und skalierbar. Die Kombination aus der digitalen Prozessintelligenz von ecoworks und der langlebigen, ästhetischen Materialqualität von Cedral beweist, dass energetische Modernisierung im Bestand keine Kompromisse zwischen Schnelligkeit, Wirtschaftlichkeit und architektonischem Anspruch mehr erfordert. Es ist ein Modell, das die Wärmewende vom Einzelfall zur Serie macht.</w:t>
      </w:r>
    </w:p>
    <w:p w14:paraId="077B6DD2" w14:textId="77777777" w:rsidR="00103978" w:rsidRDefault="00103978">
      <w:pPr>
        <w:spacing w:line="280" w:lineRule="auto"/>
        <w:jc w:val="both"/>
        <w:rPr>
          <w:rFonts w:ascii="Arial Narrow" w:eastAsia="Arial Narrow" w:hAnsi="Arial Narrow" w:cs="Arial Narrow"/>
          <w:sz w:val="22"/>
          <w:szCs w:val="22"/>
        </w:rPr>
      </w:pPr>
    </w:p>
    <w:p w14:paraId="2530D82C" w14:textId="77777777" w:rsidR="00103978" w:rsidRDefault="00103978">
      <w:pPr>
        <w:spacing w:line="280" w:lineRule="auto"/>
        <w:jc w:val="both"/>
        <w:rPr>
          <w:rFonts w:ascii="Arial Narrow" w:eastAsia="Arial Narrow" w:hAnsi="Arial Narrow" w:cs="Arial Narrow"/>
          <w:sz w:val="22"/>
          <w:szCs w:val="22"/>
        </w:rPr>
      </w:pPr>
    </w:p>
    <w:p w14:paraId="5DE1E361" w14:textId="77777777" w:rsidR="00103978" w:rsidRDefault="002C77B7">
      <w:pPr>
        <w:spacing w:line="280" w:lineRule="auto"/>
        <w:jc w:val="both"/>
        <w:rPr>
          <w:rFonts w:ascii="Arial Narrow" w:eastAsia="Arial Narrow" w:hAnsi="Arial Narrow" w:cs="Arial Narrow"/>
          <w:b/>
          <w:bCs/>
          <w:sz w:val="26"/>
          <w:szCs w:val="26"/>
        </w:rPr>
      </w:pPr>
      <w:r>
        <w:rPr>
          <w:rFonts w:ascii="Arial Narrow" w:eastAsia="Arial Narrow" w:hAnsi="Arial Narrow" w:cs="Arial Narrow"/>
          <w:b/>
          <w:bCs/>
          <w:sz w:val="26"/>
          <w:szCs w:val="26"/>
        </w:rPr>
        <w:t>Hintergrund: Warum Faserzement?</w:t>
      </w:r>
    </w:p>
    <w:p w14:paraId="3DDCE072" w14:textId="77777777" w:rsidR="00103978" w:rsidRDefault="00103978">
      <w:pPr>
        <w:spacing w:line="280" w:lineRule="auto"/>
        <w:jc w:val="both"/>
        <w:rPr>
          <w:rFonts w:ascii="Arial Narrow" w:eastAsia="Arial Narrow" w:hAnsi="Arial Narrow" w:cs="Arial Narrow"/>
          <w:sz w:val="22"/>
          <w:szCs w:val="22"/>
        </w:rPr>
      </w:pPr>
    </w:p>
    <w:p w14:paraId="5D9B57F1" w14:textId="77777777" w:rsidR="00103978" w:rsidRDefault="002C77B7">
      <w:pPr>
        <w:spacing w:line="280"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Werkstoff für die serielle Sanierung</w:t>
      </w:r>
    </w:p>
    <w:p w14:paraId="2B89B349"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Faserzement ist ein mineralischer Verbundwerkstoff, der seit über einem Jahrhundert im Hochbau eingesetzt wird. Seine Zusammensetzung aus Portlandzement, Wasser, Zellstoff sowie Verstärkungsfasern macht ihn zu einem extrem widerstandsfähigen Material für die Gebäudehülle. Im Kontext der seriellen Sanierung bietet das Material spezifische Vorteile:</w:t>
      </w:r>
    </w:p>
    <w:p w14:paraId="5CAFBF39" w14:textId="77777777" w:rsidR="00103978" w:rsidRDefault="002C77B7">
      <w:pPr>
        <w:numPr>
          <w:ilvl w:val="0"/>
          <w:numId w:val="1"/>
        </w:numPr>
        <w:pBdr>
          <w:top w:val="nil"/>
          <w:left w:val="nil"/>
          <w:bottom w:val="nil"/>
          <w:right w:val="nil"/>
          <w:between w:val="nil"/>
        </w:pBdr>
        <w:spacing w:line="28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Langlebigkeit: Mit einer Lebensdauer von mindestens 50 Jahren ist Faserzement eine nachhaltige Lösung für den langfristigen Werterhalt von Bestandsimmobilien.</w:t>
      </w:r>
    </w:p>
    <w:p w14:paraId="5D47E764" w14:textId="5447E743" w:rsidR="00103978" w:rsidRDefault="002C77B7">
      <w:pPr>
        <w:numPr>
          <w:ilvl w:val="0"/>
          <w:numId w:val="1"/>
        </w:numPr>
        <w:pBdr>
          <w:top w:val="nil"/>
          <w:left w:val="nil"/>
          <w:bottom w:val="nil"/>
          <w:right w:val="nil"/>
          <w:between w:val="nil"/>
        </w:pBdr>
        <w:spacing w:line="28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Wartungsarmut: Die werkseitige Beschichtung der Cedral Paneele ist UV-beständig und macht regelmäßiges Nachstreichen oder Ölen, wie es bei Holzfassaden oft nötig ist, überflüssig.</w:t>
      </w:r>
    </w:p>
    <w:p w14:paraId="2A84C092" w14:textId="726A29D3" w:rsidR="00103978" w:rsidRDefault="002C77B7">
      <w:pPr>
        <w:numPr>
          <w:ilvl w:val="0"/>
          <w:numId w:val="1"/>
        </w:numPr>
        <w:pBdr>
          <w:top w:val="nil"/>
          <w:left w:val="nil"/>
          <w:bottom w:val="nil"/>
          <w:right w:val="nil"/>
          <w:between w:val="nil"/>
        </w:pBdr>
        <w:spacing w:line="28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Brandschutz: Cedral Fassadenpaneele sind als nichtbrennbar gemäß DIN EN 13501-1 (Klasse A2-s1, d0) eingestuft, was sie besonders sicher für den Einsatz im mehrgeschossigen Wohnungsbau macht.</w:t>
      </w:r>
    </w:p>
    <w:p w14:paraId="41DC6154" w14:textId="77777777" w:rsidR="00103978" w:rsidRDefault="002C77B7">
      <w:pPr>
        <w:numPr>
          <w:ilvl w:val="0"/>
          <w:numId w:val="1"/>
        </w:numPr>
        <w:pBdr>
          <w:top w:val="nil"/>
          <w:left w:val="nil"/>
          <w:bottom w:val="nil"/>
          <w:right w:val="nil"/>
          <w:between w:val="nil"/>
        </w:pBdr>
        <w:spacing w:line="28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Witterungsbeständigkeit: Das Material ist frost- und wasserfest, unverrottbar und resistent gegen Schädlinge oder Schimmelpilzbefall.</w:t>
      </w:r>
    </w:p>
    <w:p w14:paraId="3E8EA783" w14:textId="60495F0C" w:rsidR="00103978" w:rsidRDefault="002C77B7">
      <w:pPr>
        <w:numPr>
          <w:ilvl w:val="0"/>
          <w:numId w:val="1"/>
        </w:numPr>
        <w:pBdr>
          <w:top w:val="nil"/>
          <w:left w:val="nil"/>
          <w:bottom w:val="nil"/>
          <w:right w:val="nil"/>
          <w:between w:val="nil"/>
        </w:pBdr>
        <w:spacing w:line="28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Nachhaltigkeit: Faserzement wird ressourcenschonend produziert und ist am Ende seines Lebenszyklus recyclingfähig. Die Produkte verfügen über eine Umwelt-Produktdeklaration (EPD) nach ISO 14025.</w:t>
      </w:r>
    </w:p>
    <w:p w14:paraId="01BD17D2" w14:textId="77777777" w:rsidR="00103978" w:rsidRDefault="00103978">
      <w:pPr>
        <w:spacing w:line="280" w:lineRule="auto"/>
        <w:jc w:val="both"/>
        <w:rPr>
          <w:rFonts w:ascii="Arial Narrow" w:eastAsia="Arial Narrow" w:hAnsi="Arial Narrow" w:cs="Arial Narrow"/>
          <w:sz w:val="22"/>
          <w:szCs w:val="22"/>
        </w:rPr>
      </w:pPr>
    </w:p>
    <w:tbl>
      <w:tblPr>
        <w:tblStyle w:val="a0"/>
        <w:tblW w:w="4373" w:type="dxa"/>
        <w:tblInd w:w="0" w:type="dxa"/>
        <w:tblLayout w:type="fixed"/>
        <w:tblLook w:val="0400" w:firstRow="0" w:lastRow="0" w:firstColumn="0" w:lastColumn="0" w:noHBand="0" w:noVBand="1"/>
      </w:tblPr>
      <w:tblGrid>
        <w:gridCol w:w="1560"/>
        <w:gridCol w:w="2813"/>
      </w:tblGrid>
      <w:tr w:rsidR="00103978" w14:paraId="766DEB36" w14:textId="77777777">
        <w:trPr>
          <w:tblHeader/>
        </w:trPr>
        <w:tc>
          <w:tcPr>
            <w:tcW w:w="1560" w:type="dxa"/>
            <w:tcBorders>
              <w:top w:val="single" w:sz="6" w:space="0" w:color="000000"/>
              <w:left w:val="single" w:sz="6" w:space="0" w:color="000000"/>
              <w:bottom w:val="single" w:sz="6" w:space="0" w:color="000000"/>
              <w:right w:val="single" w:sz="6" w:space="0" w:color="000000"/>
            </w:tcBorders>
            <w:vAlign w:val="center"/>
          </w:tcPr>
          <w:p w14:paraId="4E4794DA"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Technische Daten</w:t>
            </w:r>
          </w:p>
        </w:tc>
        <w:tc>
          <w:tcPr>
            <w:tcW w:w="2813" w:type="dxa"/>
            <w:tcBorders>
              <w:top w:val="single" w:sz="6" w:space="0" w:color="000000"/>
              <w:left w:val="single" w:sz="6" w:space="0" w:color="000000"/>
              <w:bottom w:val="single" w:sz="6" w:space="0" w:color="000000"/>
              <w:right w:val="single" w:sz="6" w:space="0" w:color="000000"/>
            </w:tcBorders>
            <w:vAlign w:val="center"/>
          </w:tcPr>
          <w:p w14:paraId="2B264691"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Cedral Lap </w:t>
            </w:r>
          </w:p>
        </w:tc>
      </w:tr>
      <w:tr w:rsidR="00103978" w14:paraId="5963D910" w14:textId="77777777">
        <w:tc>
          <w:tcPr>
            <w:tcW w:w="1560" w:type="dxa"/>
            <w:tcBorders>
              <w:top w:val="single" w:sz="6" w:space="0" w:color="000000"/>
              <w:left w:val="single" w:sz="6" w:space="0" w:color="000000"/>
              <w:bottom w:val="single" w:sz="6" w:space="0" w:color="000000"/>
              <w:right w:val="single" w:sz="6" w:space="0" w:color="000000"/>
            </w:tcBorders>
            <w:vAlign w:val="center"/>
          </w:tcPr>
          <w:p w14:paraId="71E55BD8"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Länge</w:t>
            </w:r>
          </w:p>
        </w:tc>
        <w:tc>
          <w:tcPr>
            <w:tcW w:w="2813" w:type="dxa"/>
            <w:tcBorders>
              <w:top w:val="single" w:sz="6" w:space="0" w:color="000000"/>
              <w:left w:val="single" w:sz="6" w:space="0" w:color="000000"/>
              <w:bottom w:val="single" w:sz="6" w:space="0" w:color="000000"/>
              <w:right w:val="single" w:sz="6" w:space="0" w:color="000000"/>
            </w:tcBorders>
            <w:vAlign w:val="center"/>
          </w:tcPr>
          <w:p w14:paraId="07015699"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3600 mm</w:t>
            </w:r>
          </w:p>
        </w:tc>
      </w:tr>
      <w:tr w:rsidR="00103978" w14:paraId="20E83EAD" w14:textId="77777777">
        <w:tc>
          <w:tcPr>
            <w:tcW w:w="1560" w:type="dxa"/>
            <w:tcBorders>
              <w:top w:val="single" w:sz="6" w:space="0" w:color="000000"/>
              <w:left w:val="single" w:sz="6" w:space="0" w:color="000000"/>
              <w:bottom w:val="single" w:sz="6" w:space="0" w:color="000000"/>
              <w:right w:val="single" w:sz="6" w:space="0" w:color="000000"/>
            </w:tcBorders>
            <w:vAlign w:val="center"/>
          </w:tcPr>
          <w:p w14:paraId="668B1E77"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Höhe</w:t>
            </w:r>
          </w:p>
        </w:tc>
        <w:tc>
          <w:tcPr>
            <w:tcW w:w="2813" w:type="dxa"/>
            <w:tcBorders>
              <w:top w:val="single" w:sz="6" w:space="0" w:color="000000"/>
              <w:left w:val="single" w:sz="6" w:space="0" w:color="000000"/>
              <w:bottom w:val="single" w:sz="6" w:space="0" w:color="000000"/>
              <w:right w:val="single" w:sz="6" w:space="0" w:color="000000"/>
            </w:tcBorders>
            <w:vAlign w:val="center"/>
          </w:tcPr>
          <w:p w14:paraId="021CAB67"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190 mm</w:t>
            </w:r>
          </w:p>
        </w:tc>
      </w:tr>
      <w:tr w:rsidR="00103978" w14:paraId="6F916CA6" w14:textId="77777777">
        <w:tc>
          <w:tcPr>
            <w:tcW w:w="1560" w:type="dxa"/>
            <w:tcBorders>
              <w:top w:val="single" w:sz="6" w:space="0" w:color="000000"/>
              <w:left w:val="single" w:sz="6" w:space="0" w:color="000000"/>
              <w:bottom w:val="single" w:sz="6" w:space="0" w:color="000000"/>
              <w:right w:val="single" w:sz="6" w:space="0" w:color="000000"/>
            </w:tcBorders>
            <w:vAlign w:val="center"/>
          </w:tcPr>
          <w:p w14:paraId="08B9256E"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Dicke</w:t>
            </w:r>
          </w:p>
        </w:tc>
        <w:tc>
          <w:tcPr>
            <w:tcW w:w="2813" w:type="dxa"/>
            <w:tcBorders>
              <w:top w:val="single" w:sz="6" w:space="0" w:color="000000"/>
              <w:left w:val="single" w:sz="6" w:space="0" w:color="000000"/>
              <w:bottom w:val="single" w:sz="6" w:space="0" w:color="000000"/>
              <w:right w:val="single" w:sz="6" w:space="0" w:color="000000"/>
            </w:tcBorders>
            <w:vAlign w:val="center"/>
          </w:tcPr>
          <w:p w14:paraId="41DDA861"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10 mm</w:t>
            </w:r>
          </w:p>
        </w:tc>
      </w:tr>
      <w:tr w:rsidR="00103978" w14:paraId="166D671F" w14:textId="77777777">
        <w:tc>
          <w:tcPr>
            <w:tcW w:w="1560" w:type="dxa"/>
            <w:tcBorders>
              <w:top w:val="single" w:sz="6" w:space="0" w:color="000000"/>
              <w:left w:val="single" w:sz="6" w:space="0" w:color="000000"/>
              <w:bottom w:val="single" w:sz="6" w:space="0" w:color="000000"/>
              <w:right w:val="single" w:sz="6" w:space="0" w:color="000000"/>
            </w:tcBorders>
            <w:vAlign w:val="center"/>
          </w:tcPr>
          <w:p w14:paraId="39020D39"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Gewicht</w:t>
            </w:r>
          </w:p>
        </w:tc>
        <w:tc>
          <w:tcPr>
            <w:tcW w:w="2813" w:type="dxa"/>
            <w:tcBorders>
              <w:top w:val="single" w:sz="6" w:space="0" w:color="000000"/>
              <w:left w:val="single" w:sz="6" w:space="0" w:color="000000"/>
              <w:bottom w:val="single" w:sz="6" w:space="0" w:color="000000"/>
              <w:right w:val="single" w:sz="6" w:space="0" w:color="000000"/>
            </w:tcBorders>
            <w:vAlign w:val="center"/>
          </w:tcPr>
          <w:p w14:paraId="1EC2135C" w14:textId="39123EFC"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ca. 10,</w:t>
            </w:r>
            <w:r w:rsidR="006A5F15">
              <w:rPr>
                <w:rFonts w:ascii="Arial Narrow" w:eastAsia="Arial Narrow" w:hAnsi="Arial Narrow" w:cs="Arial Narrow"/>
                <w:sz w:val="22"/>
                <w:szCs w:val="22"/>
              </w:rPr>
              <w:t>26</w:t>
            </w:r>
            <w:r>
              <w:rPr>
                <w:rFonts w:ascii="Arial Narrow" w:eastAsia="Arial Narrow" w:hAnsi="Arial Narrow" w:cs="Arial Narrow"/>
                <w:sz w:val="22"/>
                <w:szCs w:val="22"/>
              </w:rPr>
              <w:t xml:space="preserve"> kg pro Paneel</w:t>
            </w:r>
          </w:p>
        </w:tc>
      </w:tr>
      <w:tr w:rsidR="00103978" w14:paraId="68BF57CF" w14:textId="77777777">
        <w:tc>
          <w:tcPr>
            <w:tcW w:w="1560" w:type="dxa"/>
            <w:tcBorders>
              <w:top w:val="single" w:sz="6" w:space="0" w:color="000000"/>
              <w:left w:val="single" w:sz="6" w:space="0" w:color="000000"/>
              <w:bottom w:val="single" w:sz="6" w:space="0" w:color="000000"/>
              <w:right w:val="single" w:sz="6" w:space="0" w:color="000000"/>
            </w:tcBorders>
            <w:vAlign w:val="center"/>
          </w:tcPr>
          <w:p w14:paraId="7E19DAA9"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Brandverhalten</w:t>
            </w:r>
          </w:p>
        </w:tc>
        <w:tc>
          <w:tcPr>
            <w:tcW w:w="2813" w:type="dxa"/>
            <w:tcBorders>
              <w:top w:val="single" w:sz="6" w:space="0" w:color="000000"/>
              <w:left w:val="single" w:sz="6" w:space="0" w:color="000000"/>
              <w:bottom w:val="single" w:sz="6" w:space="0" w:color="000000"/>
              <w:right w:val="single" w:sz="6" w:space="0" w:color="000000"/>
            </w:tcBorders>
            <w:vAlign w:val="center"/>
          </w:tcPr>
          <w:p w14:paraId="40E693C2"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A2-s1, d0 (nichtbrennbar)</w:t>
            </w:r>
          </w:p>
        </w:tc>
      </w:tr>
      <w:tr w:rsidR="00103978" w14:paraId="18A6F05A" w14:textId="77777777">
        <w:tc>
          <w:tcPr>
            <w:tcW w:w="1560" w:type="dxa"/>
            <w:tcBorders>
              <w:top w:val="single" w:sz="6" w:space="0" w:color="000000"/>
              <w:left w:val="single" w:sz="6" w:space="0" w:color="000000"/>
              <w:bottom w:val="single" w:sz="6" w:space="0" w:color="000000"/>
              <w:right w:val="single" w:sz="6" w:space="0" w:color="000000"/>
            </w:tcBorders>
            <w:vAlign w:val="center"/>
          </w:tcPr>
          <w:p w14:paraId="0F989457"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Verlegung</w:t>
            </w:r>
          </w:p>
        </w:tc>
        <w:tc>
          <w:tcPr>
            <w:tcW w:w="2813" w:type="dxa"/>
            <w:tcBorders>
              <w:top w:val="single" w:sz="6" w:space="0" w:color="000000"/>
              <w:left w:val="single" w:sz="6" w:space="0" w:color="000000"/>
              <w:bottom w:val="single" w:sz="6" w:space="0" w:color="000000"/>
              <w:right w:val="single" w:sz="6" w:space="0" w:color="000000"/>
            </w:tcBorders>
            <w:vAlign w:val="center"/>
          </w:tcPr>
          <w:p w14:paraId="6B7F95E9" w14:textId="77777777" w:rsidR="00103978" w:rsidRDefault="002C77B7">
            <w:pPr>
              <w:spacing w:line="280" w:lineRule="auto"/>
              <w:jc w:val="both"/>
              <w:rPr>
                <w:rFonts w:ascii="Arial Narrow" w:eastAsia="Arial Narrow" w:hAnsi="Arial Narrow" w:cs="Arial Narrow"/>
                <w:sz w:val="22"/>
                <w:szCs w:val="22"/>
              </w:rPr>
            </w:pPr>
            <w:r>
              <w:rPr>
                <w:rFonts w:ascii="Arial Narrow" w:eastAsia="Arial Narrow" w:hAnsi="Arial Narrow" w:cs="Arial Narrow"/>
                <w:sz w:val="22"/>
                <w:szCs w:val="22"/>
              </w:rPr>
              <w:t>Stülpschalung (horizontal/vertikal)</w:t>
            </w:r>
          </w:p>
        </w:tc>
      </w:tr>
    </w:tbl>
    <w:p w14:paraId="01B14162" w14:textId="77777777" w:rsidR="00103978" w:rsidRDefault="002C77B7">
      <w:pPr>
        <w:rPr>
          <w:rFonts w:ascii="Arial Narrow" w:eastAsia="Arial Narrow" w:hAnsi="Arial Narrow" w:cs="Arial Narrow"/>
          <w:sz w:val="22"/>
          <w:szCs w:val="22"/>
        </w:rPr>
      </w:pPr>
      <w:r>
        <w:br w:type="page"/>
      </w:r>
    </w:p>
    <w:p w14:paraId="0826046D"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sz w:val="22"/>
          <w:szCs w:val="22"/>
        </w:rPr>
        <w:lastRenderedPageBreak/>
        <w:t>ABBILDUNGEN:</w:t>
      </w:r>
    </w:p>
    <w:p w14:paraId="35848971"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14:anchorId="64838E5E" wp14:editId="25F98F0E">
            <wp:extent cx="4752000" cy="3168000"/>
            <wp:effectExtent l="0" t="0" r="0" b="0"/>
            <wp:docPr id="190940677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 cstate="email">
                      <a:extLst>
                        <a:ext uri="{28A0092B-C50C-407E-A947-70E740481C1C}">
                          <a14:useLocalDpi xmlns:a14="http://schemas.microsoft.com/office/drawing/2010/main"/>
                        </a:ext>
                      </a:extLst>
                    </a:blip>
                    <a:srcRect/>
                    <a:stretch>
                      <a:fillRect/>
                    </a:stretch>
                  </pic:blipFill>
                  <pic:spPr>
                    <a:xfrm>
                      <a:off x="0" y="0"/>
                      <a:ext cx="4752000" cy="3168000"/>
                    </a:xfrm>
                    <a:prstGeom prst="rect">
                      <a:avLst/>
                    </a:prstGeom>
                    <a:ln/>
                  </pic:spPr>
                </pic:pic>
              </a:graphicData>
            </a:graphic>
          </wp:inline>
        </w:drawing>
      </w:r>
      <w:r>
        <w:rPr>
          <w:rFonts w:ascii="Arial Narrow" w:eastAsia="Arial Narrow" w:hAnsi="Arial Narrow" w:cs="Arial Narrow"/>
          <w:sz w:val="22"/>
          <w:szCs w:val="22"/>
        </w:rPr>
        <w:t xml:space="preserve"> </w:t>
      </w:r>
    </w:p>
    <w:p w14:paraId="3899753B" w14:textId="30474BC3" w:rsidR="00103978" w:rsidRDefault="002C77B7">
      <w:pPr>
        <w:jc w:val="both"/>
        <w:rPr>
          <w:rFonts w:ascii="Arial Narrow" w:eastAsia="Arial Narrow" w:hAnsi="Arial Narrow" w:cs="Arial Narrow"/>
          <w:sz w:val="22"/>
          <w:szCs w:val="22"/>
        </w:rPr>
      </w:pPr>
      <w:r>
        <w:rPr>
          <w:rFonts w:ascii="Arial Narrow" w:eastAsia="Arial Narrow" w:hAnsi="Arial Narrow" w:cs="Arial Narrow"/>
          <w:sz w:val="22"/>
          <w:szCs w:val="22"/>
        </w:rPr>
        <w:t>ecoworks setzt auf serielle Sanierung mittels vorgefertigter Fassadenmodule in Holzhybridbauweise, hier die Fertigung des Partners Bien-Zenker. Als Fassadenbekleidung kommen unter anderem Cedral Lap Paneele aus Faserzement zum Einsatz. © Etex Germany Exteriors / Dennis Neuschaefer-Rube</w:t>
      </w:r>
    </w:p>
    <w:p w14:paraId="72332409" w14:textId="77777777" w:rsidR="00103978" w:rsidRDefault="00103978">
      <w:pPr>
        <w:jc w:val="both"/>
        <w:rPr>
          <w:rFonts w:ascii="Arial Narrow" w:eastAsia="Arial Narrow" w:hAnsi="Arial Narrow" w:cs="Arial Narrow"/>
          <w:sz w:val="22"/>
          <w:szCs w:val="22"/>
        </w:rPr>
      </w:pPr>
    </w:p>
    <w:p w14:paraId="2EFA51AD"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14:anchorId="71F1DCEE" wp14:editId="66B59649">
            <wp:extent cx="4752000" cy="3168000"/>
            <wp:effectExtent l="0" t="0" r="0" b="0"/>
            <wp:docPr id="190940677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cstate="email">
                      <a:extLst>
                        <a:ext uri="{28A0092B-C50C-407E-A947-70E740481C1C}">
                          <a14:useLocalDpi xmlns:a14="http://schemas.microsoft.com/office/drawing/2010/main"/>
                        </a:ext>
                      </a:extLst>
                    </a:blip>
                    <a:srcRect/>
                    <a:stretch>
                      <a:fillRect/>
                    </a:stretch>
                  </pic:blipFill>
                  <pic:spPr>
                    <a:xfrm>
                      <a:off x="0" y="0"/>
                      <a:ext cx="4752000" cy="3168000"/>
                    </a:xfrm>
                    <a:prstGeom prst="rect">
                      <a:avLst/>
                    </a:prstGeom>
                    <a:ln/>
                  </pic:spPr>
                </pic:pic>
              </a:graphicData>
            </a:graphic>
          </wp:inline>
        </w:drawing>
      </w:r>
    </w:p>
    <w:p w14:paraId="541C1C9C" w14:textId="357A68A5" w:rsidR="00103978" w:rsidRDefault="002C77B7">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Die Cedral Lap Paneele werden in der Fabrik als klassische Stülpschalung auf die vorbereiteten Module geschraubt. Cedral liefert hierfür auch abgestimmtes Systemzubehör wie Befestigungsmittel oder </w:t>
      </w:r>
      <w:r w:rsidR="006A5F15">
        <w:rPr>
          <w:rFonts w:ascii="Arial Narrow" w:eastAsia="Arial Narrow" w:hAnsi="Arial Narrow" w:cs="Arial Narrow"/>
          <w:sz w:val="22"/>
          <w:szCs w:val="22"/>
        </w:rPr>
        <w:t>P</w:t>
      </w:r>
      <w:r>
        <w:rPr>
          <w:rFonts w:ascii="Arial Narrow" w:eastAsia="Arial Narrow" w:hAnsi="Arial Narrow" w:cs="Arial Narrow"/>
          <w:sz w:val="22"/>
          <w:szCs w:val="22"/>
        </w:rPr>
        <w:t>rofile. © Etex Germany Exteriors / Dennis Neuschaefer-Rube</w:t>
      </w:r>
      <w:r>
        <w:br w:type="page"/>
      </w:r>
    </w:p>
    <w:p w14:paraId="55826071"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noProof/>
          <w:sz w:val="22"/>
          <w:szCs w:val="22"/>
        </w:rPr>
        <w:lastRenderedPageBreak/>
        <w:drawing>
          <wp:inline distT="0" distB="0" distL="0" distR="0" wp14:anchorId="5F536A13" wp14:editId="1E1948E6">
            <wp:extent cx="4752000" cy="3556800"/>
            <wp:effectExtent l="0" t="0" r="0" b="0"/>
            <wp:docPr id="190940677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0" cstate="email">
                      <a:extLst>
                        <a:ext uri="{28A0092B-C50C-407E-A947-70E740481C1C}">
                          <a14:useLocalDpi xmlns:a14="http://schemas.microsoft.com/office/drawing/2010/main"/>
                        </a:ext>
                      </a:extLst>
                    </a:blip>
                    <a:srcRect/>
                    <a:stretch>
                      <a:fillRect/>
                    </a:stretch>
                  </pic:blipFill>
                  <pic:spPr>
                    <a:xfrm>
                      <a:off x="0" y="0"/>
                      <a:ext cx="4752000" cy="3556800"/>
                    </a:xfrm>
                    <a:prstGeom prst="rect">
                      <a:avLst/>
                    </a:prstGeom>
                    <a:ln/>
                  </pic:spPr>
                </pic:pic>
              </a:graphicData>
            </a:graphic>
          </wp:inline>
        </w:drawing>
      </w:r>
    </w:p>
    <w:p w14:paraId="05BAABBE"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sz w:val="22"/>
          <w:szCs w:val="22"/>
        </w:rPr>
        <w:t>Die vorgefertigten Module werden per Sattelschlepper auf die Baustelle geliefert. Sie enthalten Dämmung, Fenster, dezentrale Wohnraumlüftung sowie Fassadenbekleidung. Bei Bedarf können auch Leitungsstränge für Heizung, Wasser oder Elektrik in das Fassadenelement integriert werden. © Etex Germany Exteriors / Dennis Neuschaefer-Rube</w:t>
      </w:r>
    </w:p>
    <w:p w14:paraId="655B3F95" w14:textId="77777777" w:rsidR="00103978" w:rsidRDefault="00103978">
      <w:pPr>
        <w:jc w:val="both"/>
        <w:rPr>
          <w:rFonts w:ascii="Arial Narrow" w:eastAsia="Arial Narrow" w:hAnsi="Arial Narrow" w:cs="Arial Narrow"/>
          <w:sz w:val="22"/>
          <w:szCs w:val="22"/>
        </w:rPr>
      </w:pPr>
    </w:p>
    <w:p w14:paraId="78A333BB" w14:textId="77777777" w:rsidR="00103978" w:rsidRDefault="00103978">
      <w:pPr>
        <w:jc w:val="both"/>
        <w:rPr>
          <w:rFonts w:ascii="Arial Narrow" w:eastAsia="Arial Narrow" w:hAnsi="Arial Narrow" w:cs="Arial Narrow"/>
          <w:sz w:val="22"/>
          <w:szCs w:val="22"/>
        </w:rPr>
      </w:pPr>
    </w:p>
    <w:p w14:paraId="28048FC3" w14:textId="77777777" w:rsidR="00E32EEE" w:rsidRDefault="00E32EEE">
      <w:pPr>
        <w:jc w:val="both"/>
        <w:rPr>
          <w:rFonts w:ascii="Arial Narrow" w:eastAsia="Arial Narrow" w:hAnsi="Arial Narrow" w:cs="Arial Narrow"/>
          <w:sz w:val="22"/>
          <w:szCs w:val="22"/>
        </w:rPr>
      </w:pPr>
    </w:p>
    <w:p w14:paraId="520BE4DC" w14:textId="77777777" w:rsidR="00E32EEE" w:rsidRDefault="00E32EEE">
      <w:pPr>
        <w:jc w:val="both"/>
        <w:rPr>
          <w:rFonts w:ascii="Arial Narrow" w:eastAsia="Arial Narrow" w:hAnsi="Arial Narrow" w:cs="Arial Narrow"/>
          <w:sz w:val="22"/>
          <w:szCs w:val="22"/>
        </w:rPr>
      </w:pPr>
    </w:p>
    <w:p w14:paraId="2D57AE87"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14:anchorId="4B0E6BE8" wp14:editId="034E80A5">
            <wp:extent cx="2412610" cy="1729159"/>
            <wp:effectExtent l="0" t="0" r="635" b="0"/>
            <wp:docPr id="1909406780"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1" cstate="email">
                      <a:extLst>
                        <a:ext uri="{28A0092B-C50C-407E-A947-70E740481C1C}">
                          <a14:useLocalDpi xmlns:a14="http://schemas.microsoft.com/office/drawing/2010/main"/>
                        </a:ext>
                      </a:extLst>
                    </a:blip>
                    <a:srcRect/>
                    <a:stretch>
                      <a:fillRect/>
                    </a:stretch>
                  </pic:blipFill>
                  <pic:spPr>
                    <a:xfrm>
                      <a:off x="0" y="0"/>
                      <a:ext cx="2431427" cy="1742645"/>
                    </a:xfrm>
                    <a:prstGeom prst="rect">
                      <a:avLst/>
                    </a:prstGeom>
                    <a:ln/>
                  </pic:spPr>
                </pic:pic>
              </a:graphicData>
            </a:graphic>
          </wp:inline>
        </w:drawing>
      </w:r>
      <w:r>
        <w:rPr>
          <w:rFonts w:ascii="Arial Narrow" w:eastAsia="Arial Narrow" w:hAnsi="Arial Narrow" w:cs="Arial Narrow"/>
          <w:noProof/>
          <w:sz w:val="22"/>
          <w:szCs w:val="22"/>
        </w:rPr>
        <w:drawing>
          <wp:inline distT="0" distB="0" distL="0" distR="0" wp14:anchorId="75A9F9DA" wp14:editId="14E31E15">
            <wp:extent cx="2348865" cy="1721729"/>
            <wp:effectExtent l="0" t="0" r="635" b="5715"/>
            <wp:docPr id="190940677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2" cstate="email">
                      <a:extLst>
                        <a:ext uri="{28A0092B-C50C-407E-A947-70E740481C1C}">
                          <a14:useLocalDpi xmlns:a14="http://schemas.microsoft.com/office/drawing/2010/main"/>
                        </a:ext>
                      </a:extLst>
                    </a:blip>
                    <a:srcRect/>
                    <a:stretch>
                      <a:fillRect/>
                    </a:stretch>
                  </pic:blipFill>
                  <pic:spPr>
                    <a:xfrm>
                      <a:off x="0" y="0"/>
                      <a:ext cx="2356328" cy="1727200"/>
                    </a:xfrm>
                    <a:prstGeom prst="rect">
                      <a:avLst/>
                    </a:prstGeom>
                    <a:ln/>
                  </pic:spPr>
                </pic:pic>
              </a:graphicData>
            </a:graphic>
          </wp:inline>
        </w:drawing>
      </w:r>
    </w:p>
    <w:p w14:paraId="17CF4C62"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sz w:val="22"/>
          <w:szCs w:val="22"/>
        </w:rPr>
        <w:t>Der Kran bringt das Fassadenmodul an die geplante Stelle, dort wird es von den Monteuren an der Bestandswand befestigt. © Etex Germany Exteriors / Dennis Neuschaefer-Rube</w:t>
      </w:r>
    </w:p>
    <w:p w14:paraId="06B20F31" w14:textId="77777777" w:rsidR="00103978" w:rsidRDefault="002C77B7">
      <w:pPr>
        <w:rPr>
          <w:rFonts w:ascii="Arial Narrow" w:eastAsia="Arial Narrow" w:hAnsi="Arial Narrow" w:cs="Arial Narrow"/>
          <w:sz w:val="22"/>
          <w:szCs w:val="22"/>
        </w:rPr>
      </w:pPr>
      <w:r>
        <w:br w:type="page"/>
      </w:r>
    </w:p>
    <w:p w14:paraId="77FD7821"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noProof/>
          <w:sz w:val="22"/>
          <w:szCs w:val="22"/>
        </w:rPr>
        <w:lastRenderedPageBreak/>
        <w:drawing>
          <wp:inline distT="0" distB="0" distL="0" distR="0" wp14:anchorId="6805B5A9" wp14:editId="3E1710C7">
            <wp:extent cx="4752000" cy="3171600"/>
            <wp:effectExtent l="0" t="0" r="0" b="0"/>
            <wp:docPr id="190940678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3" cstate="email">
                      <a:extLst>
                        <a:ext uri="{28A0092B-C50C-407E-A947-70E740481C1C}">
                          <a14:useLocalDpi xmlns:a14="http://schemas.microsoft.com/office/drawing/2010/main"/>
                        </a:ext>
                      </a:extLst>
                    </a:blip>
                    <a:srcRect/>
                    <a:stretch>
                      <a:fillRect/>
                    </a:stretch>
                  </pic:blipFill>
                  <pic:spPr>
                    <a:xfrm>
                      <a:off x="0" y="0"/>
                      <a:ext cx="4752000" cy="3171600"/>
                    </a:xfrm>
                    <a:prstGeom prst="rect">
                      <a:avLst/>
                    </a:prstGeom>
                    <a:ln/>
                  </pic:spPr>
                </pic:pic>
              </a:graphicData>
            </a:graphic>
          </wp:inline>
        </w:drawing>
      </w:r>
    </w:p>
    <w:p w14:paraId="51F68612" w14:textId="7EEBA04F" w:rsidR="00103978" w:rsidRDefault="002C77B7">
      <w:pPr>
        <w:jc w:val="both"/>
        <w:rPr>
          <w:rFonts w:ascii="Arial Narrow" w:eastAsia="Arial Narrow" w:hAnsi="Arial Narrow" w:cs="Arial Narrow"/>
          <w:sz w:val="22"/>
          <w:szCs w:val="22"/>
        </w:rPr>
      </w:pPr>
      <w:r>
        <w:rPr>
          <w:rFonts w:ascii="Arial Narrow" w:eastAsia="Arial Narrow" w:hAnsi="Arial Narrow" w:cs="Arial Narrow"/>
          <w:sz w:val="22"/>
          <w:szCs w:val="22"/>
        </w:rPr>
        <w:t>Mittels 3D-Laserscan wurde das Bestandsgebäude im Vorfeld millimetergenau erfasst, so dass diese Fassadenmodule, in diesem Fall bekleidet mit Cedral Lap Paneelen, maßgenau vorgefertigt und verarbeitet werden konnten. © Etex Germany Exteriors / Dennis Neuschaefer-Rube</w:t>
      </w:r>
    </w:p>
    <w:p w14:paraId="79823295" w14:textId="77777777" w:rsidR="00103978" w:rsidRDefault="00103978">
      <w:pPr>
        <w:jc w:val="both"/>
        <w:rPr>
          <w:rFonts w:ascii="Arial Narrow" w:eastAsia="Arial Narrow" w:hAnsi="Arial Narrow" w:cs="Arial Narrow"/>
          <w:sz w:val="22"/>
          <w:szCs w:val="22"/>
        </w:rPr>
      </w:pPr>
    </w:p>
    <w:p w14:paraId="12DB7A5D" w14:textId="77777777" w:rsidR="00CE6C99" w:rsidRDefault="00CE6C99">
      <w:pPr>
        <w:jc w:val="both"/>
        <w:rPr>
          <w:rFonts w:ascii="Arial Narrow" w:eastAsia="Arial Narrow" w:hAnsi="Arial Narrow" w:cs="Arial Narrow"/>
          <w:sz w:val="22"/>
          <w:szCs w:val="22"/>
        </w:rPr>
      </w:pPr>
    </w:p>
    <w:p w14:paraId="08F1FB69" w14:textId="77777777" w:rsidR="00CE6C99" w:rsidRDefault="00CE6C99">
      <w:pPr>
        <w:jc w:val="both"/>
        <w:rPr>
          <w:rFonts w:ascii="Arial Narrow" w:eastAsia="Arial Narrow" w:hAnsi="Arial Narrow" w:cs="Arial Narrow"/>
          <w:sz w:val="22"/>
          <w:szCs w:val="22"/>
        </w:rPr>
      </w:pPr>
    </w:p>
    <w:p w14:paraId="46469268" w14:textId="77777777" w:rsidR="00103978" w:rsidRDefault="00CE6C99">
      <w:pPr>
        <w:jc w:val="both"/>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14:anchorId="15EB69DA" wp14:editId="03489595">
            <wp:extent cx="4752000" cy="2970000"/>
            <wp:effectExtent l="0" t="0" r="0" b="1905"/>
            <wp:docPr id="43231030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310305" name="Grafik 4"/>
                    <pic:cNvPicPr/>
                  </pic:nvPicPr>
                  <pic:blipFill>
                    <a:blip r:embed="rId14" cstate="email">
                      <a:extLst>
                        <a:ext uri="{28A0092B-C50C-407E-A947-70E740481C1C}">
                          <a14:useLocalDpi xmlns:a14="http://schemas.microsoft.com/office/drawing/2010/main"/>
                        </a:ext>
                      </a:extLst>
                    </a:blip>
                    <a:stretch>
                      <a:fillRect/>
                    </a:stretch>
                  </pic:blipFill>
                  <pic:spPr>
                    <a:xfrm>
                      <a:off x="0" y="0"/>
                      <a:ext cx="4752000" cy="2970000"/>
                    </a:xfrm>
                    <a:prstGeom prst="rect">
                      <a:avLst/>
                    </a:prstGeom>
                  </pic:spPr>
                </pic:pic>
              </a:graphicData>
            </a:graphic>
          </wp:inline>
        </w:drawing>
      </w:r>
    </w:p>
    <w:p w14:paraId="1C6B8084"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sz w:val="22"/>
          <w:szCs w:val="22"/>
        </w:rPr>
        <w:t>Exemplarischer Aufbau eines ecoworks-Fassadenmoduls. © ecoworks</w:t>
      </w:r>
    </w:p>
    <w:p w14:paraId="632E0E89" w14:textId="77777777" w:rsidR="00103978" w:rsidRDefault="002C77B7">
      <w:pPr>
        <w:rPr>
          <w:rFonts w:ascii="Arial Narrow" w:eastAsia="Arial Narrow" w:hAnsi="Arial Narrow" w:cs="Arial Narrow"/>
          <w:sz w:val="22"/>
          <w:szCs w:val="22"/>
        </w:rPr>
      </w:pPr>
      <w:r>
        <w:br w:type="page"/>
      </w:r>
    </w:p>
    <w:p w14:paraId="78F07BA7" w14:textId="77777777" w:rsidR="00103978" w:rsidRDefault="002C77B7">
      <w:pPr>
        <w:jc w:val="both"/>
        <w:rPr>
          <w:rFonts w:ascii="Arial Narrow" w:eastAsia="Arial Narrow" w:hAnsi="Arial Narrow" w:cs="Arial Narrow"/>
          <w:sz w:val="22"/>
          <w:szCs w:val="22"/>
        </w:rPr>
      </w:pPr>
      <w:r>
        <w:rPr>
          <w:rFonts w:ascii="Arial Narrow" w:eastAsia="Arial Narrow" w:hAnsi="Arial Narrow" w:cs="Arial Narrow"/>
          <w:noProof/>
          <w:sz w:val="22"/>
          <w:szCs w:val="22"/>
        </w:rPr>
        <w:lastRenderedPageBreak/>
        <w:drawing>
          <wp:inline distT="0" distB="0" distL="0" distR="0" wp14:anchorId="129F3040" wp14:editId="000AC6CC">
            <wp:extent cx="4752000" cy="2736000"/>
            <wp:effectExtent l="0" t="0" r="0" b="0"/>
            <wp:docPr id="190940678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cstate="email">
                      <a:extLst>
                        <a:ext uri="{28A0092B-C50C-407E-A947-70E740481C1C}">
                          <a14:useLocalDpi xmlns:a14="http://schemas.microsoft.com/office/drawing/2010/main"/>
                        </a:ext>
                      </a:extLst>
                    </a:blip>
                    <a:srcRect/>
                    <a:stretch>
                      <a:fillRect/>
                    </a:stretch>
                  </pic:blipFill>
                  <pic:spPr>
                    <a:xfrm>
                      <a:off x="0" y="0"/>
                      <a:ext cx="4752000" cy="2736000"/>
                    </a:xfrm>
                    <a:prstGeom prst="rect">
                      <a:avLst/>
                    </a:prstGeom>
                    <a:ln/>
                  </pic:spPr>
                </pic:pic>
              </a:graphicData>
            </a:graphic>
          </wp:inline>
        </w:drawing>
      </w:r>
    </w:p>
    <w:p w14:paraId="3CC4A65C" w14:textId="1DE35BA2" w:rsidR="00103978" w:rsidRDefault="002C77B7">
      <w:pPr>
        <w:jc w:val="both"/>
        <w:rPr>
          <w:rFonts w:ascii="Arial Narrow" w:eastAsia="Arial Narrow" w:hAnsi="Arial Narrow" w:cs="Arial Narrow"/>
          <w:sz w:val="22"/>
          <w:szCs w:val="22"/>
        </w:rPr>
      </w:pPr>
      <w:r>
        <w:rPr>
          <w:rFonts w:ascii="Arial Narrow" w:eastAsia="Arial Narrow" w:hAnsi="Arial Narrow" w:cs="Arial Narrow"/>
          <w:sz w:val="22"/>
          <w:szCs w:val="22"/>
        </w:rPr>
        <w:t>Die für die Projekte in Nürnberg und Lindenberg verwendeten Cedral Lap Faserzement-Paneele (v.l.): C01 Weiß, C05 Platingrau, C07 Kreideweiß, C51 Silbergrau, C77 Kieselgrau. © Etex Germany Exteriors</w:t>
      </w:r>
    </w:p>
    <w:p w14:paraId="5F2EF874" w14:textId="77777777" w:rsidR="00103978" w:rsidRDefault="00103978">
      <w:pPr>
        <w:jc w:val="both"/>
        <w:rPr>
          <w:rFonts w:ascii="Arial Narrow" w:eastAsia="Arial Narrow" w:hAnsi="Arial Narrow" w:cs="Arial Narrow"/>
          <w:sz w:val="22"/>
          <w:szCs w:val="22"/>
        </w:rPr>
      </w:pPr>
    </w:p>
    <w:p w14:paraId="27FE5C99" w14:textId="77777777" w:rsidR="00103978" w:rsidRDefault="00103978">
      <w:pPr>
        <w:jc w:val="both"/>
        <w:rPr>
          <w:rFonts w:ascii="Arial Narrow" w:eastAsia="Arial Narrow" w:hAnsi="Arial Narrow" w:cs="Arial Narrow"/>
          <w:sz w:val="22"/>
          <w:szCs w:val="22"/>
        </w:rPr>
      </w:pPr>
    </w:p>
    <w:p w14:paraId="643326FB" w14:textId="77777777" w:rsidR="00103978" w:rsidRDefault="00103978">
      <w:pPr>
        <w:jc w:val="both"/>
        <w:rPr>
          <w:rFonts w:ascii="Arial Narrow" w:eastAsia="Arial Narrow" w:hAnsi="Arial Narrow" w:cs="Arial Narrow"/>
          <w:sz w:val="22"/>
          <w:szCs w:val="22"/>
        </w:rPr>
      </w:pPr>
    </w:p>
    <w:p w14:paraId="196B5D61" w14:textId="77777777" w:rsidR="00103978" w:rsidRDefault="00103978">
      <w:pPr>
        <w:jc w:val="both"/>
        <w:rPr>
          <w:rFonts w:ascii="Arial Narrow" w:eastAsia="Arial Narrow" w:hAnsi="Arial Narrow" w:cs="Arial Narrow"/>
          <w:sz w:val="22"/>
          <w:szCs w:val="22"/>
        </w:rPr>
      </w:pPr>
    </w:p>
    <w:p w14:paraId="493A507B" w14:textId="77777777" w:rsidR="00E041DA" w:rsidRDefault="00E041DA" w:rsidP="00E041DA">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Über Etex Germany Exteriors GmbH:</w:t>
      </w:r>
    </w:p>
    <w:p w14:paraId="5D2E6662" w14:textId="6F517C90" w:rsidR="00E041DA" w:rsidRDefault="00E041DA" w:rsidP="00E041DA">
      <w:pPr>
        <w:jc w:val="both"/>
        <w:rPr>
          <w:rFonts w:ascii="Arial Narrow" w:eastAsia="Arial Narrow" w:hAnsi="Arial Narrow" w:cs="Arial Narrow"/>
          <w:sz w:val="22"/>
          <w:szCs w:val="22"/>
        </w:rPr>
      </w:pPr>
      <w:r>
        <w:rPr>
          <w:rFonts w:ascii="Arial Narrow" w:eastAsia="Arial Narrow" w:hAnsi="Arial Narrow" w:cs="Arial Narrow"/>
          <w:sz w:val="22"/>
          <w:szCs w:val="22"/>
        </w:rPr>
        <w:t>Die Etex Germany Exteriors GmbH ist ein führender Hersteller von Qualitätsprodukten für Dächer und Fassaden aus Faserzement. Das Portfolio umfasst die Marken EQUITONE Fassadentafeln, Cedral Fassadenpaneele, kleinformatige Dach- und Fassadenplatten Cedral Alterna</w:t>
      </w:r>
      <w:r w:rsidR="00FD36C0">
        <w:rPr>
          <w:rFonts w:ascii="Arial Narrow" w:eastAsia="Arial Narrow" w:hAnsi="Arial Narrow" w:cs="Arial Narrow"/>
          <w:sz w:val="22"/>
          <w:szCs w:val="22"/>
        </w:rPr>
        <w:t xml:space="preserve"> </w:t>
      </w:r>
      <w:r>
        <w:rPr>
          <w:rFonts w:ascii="Arial Narrow" w:eastAsia="Arial Narrow" w:hAnsi="Arial Narrow" w:cs="Arial Narrow"/>
          <w:sz w:val="22"/>
          <w:szCs w:val="22"/>
        </w:rPr>
        <w:t>und Eternit Wellplatten. Etex Germany Exteriors GmbH gehört zu der in Belgien ansässigen Etex und ist in Deutschland an den Standorten Beckum und Heidelberg vertreten.</w:t>
      </w:r>
    </w:p>
    <w:p w14:paraId="7F06169D" w14:textId="77777777" w:rsidR="00103978" w:rsidRDefault="00103978">
      <w:pPr>
        <w:jc w:val="both"/>
        <w:rPr>
          <w:rFonts w:ascii="Arial Narrow" w:eastAsia="Arial Narrow" w:hAnsi="Arial Narrow" w:cs="Arial Narrow"/>
          <w:b/>
          <w:bCs/>
          <w:sz w:val="22"/>
          <w:szCs w:val="22"/>
        </w:rPr>
      </w:pPr>
    </w:p>
    <w:p w14:paraId="279E7D86" w14:textId="77777777" w:rsidR="00103978" w:rsidRDefault="00103978">
      <w:pPr>
        <w:jc w:val="both"/>
        <w:rPr>
          <w:rFonts w:ascii="Arial Narrow" w:eastAsia="Arial Narrow" w:hAnsi="Arial Narrow" w:cs="Arial Narrow"/>
          <w:b/>
          <w:bCs/>
        </w:rPr>
      </w:pPr>
    </w:p>
    <w:p w14:paraId="412D1E3C" w14:textId="77777777" w:rsidR="006A5F15" w:rsidRPr="0069252E" w:rsidRDefault="006A5F15" w:rsidP="006A5F15">
      <w:pPr>
        <w:jc w:val="both"/>
        <w:rPr>
          <w:rFonts w:ascii="Arial Narrow" w:hAnsi="Arial Narrow"/>
          <w:b/>
          <w:bCs/>
          <w:iCs/>
          <w:spacing w:val="-4"/>
        </w:rPr>
      </w:pPr>
      <w:r w:rsidRPr="0069252E">
        <w:rPr>
          <w:rFonts w:ascii="Arial Narrow" w:hAnsi="Arial Narrow"/>
          <w:b/>
          <w:bCs/>
          <w:iCs/>
          <w:spacing w:val="-4"/>
        </w:rPr>
        <w:t>Die Etex Germany Exteriors GmbH finden Sie auf der DACH+HOLZ 2026 in Köln in Halle 6, Stand 408.</w:t>
      </w:r>
    </w:p>
    <w:p w14:paraId="34D79808" w14:textId="77777777" w:rsidR="00103978" w:rsidRDefault="00103978">
      <w:pPr>
        <w:jc w:val="both"/>
        <w:rPr>
          <w:rFonts w:ascii="Arial Narrow" w:eastAsia="Arial Narrow" w:hAnsi="Arial Narrow" w:cs="Arial Narrow"/>
          <w:sz w:val="22"/>
          <w:szCs w:val="22"/>
        </w:rPr>
      </w:pPr>
    </w:p>
    <w:p w14:paraId="4DF038E8" w14:textId="77777777" w:rsidR="00103978" w:rsidRDefault="00103978">
      <w:pPr>
        <w:jc w:val="both"/>
        <w:rPr>
          <w:rFonts w:ascii="Arial Narrow" w:eastAsia="Arial Narrow" w:hAnsi="Arial Narrow" w:cs="Arial Narrow"/>
          <w:sz w:val="22"/>
          <w:szCs w:val="22"/>
        </w:rPr>
      </w:pPr>
    </w:p>
    <w:p w14:paraId="13C3F97F" w14:textId="77777777" w:rsidR="00103978" w:rsidRDefault="002C77B7">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Abdruck honorarfrei. Belegexemplar erbeten.</w:t>
      </w:r>
    </w:p>
    <w:p w14:paraId="60472F1D" w14:textId="77777777" w:rsidR="00103978" w:rsidRDefault="00103978">
      <w:pPr>
        <w:spacing w:line="220" w:lineRule="auto"/>
        <w:jc w:val="both"/>
        <w:rPr>
          <w:rFonts w:ascii="Arial Narrow" w:eastAsia="Arial Narrow" w:hAnsi="Arial Narrow" w:cs="Arial Narrow"/>
          <w:sz w:val="18"/>
          <w:szCs w:val="18"/>
        </w:rPr>
      </w:pPr>
    </w:p>
    <w:p w14:paraId="25E74B4C" w14:textId="77777777" w:rsidR="00103978" w:rsidRDefault="002C77B7">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Ansprechpartner</w:t>
      </w:r>
      <w:r>
        <w:rPr>
          <w:rFonts w:ascii="Arial Narrow" w:eastAsia="Arial Narrow" w:hAnsi="Arial Narrow" w:cs="Arial Narrow"/>
          <w:sz w:val="18"/>
          <w:szCs w:val="18"/>
        </w:rPr>
        <w:tab/>
        <w:t>Etex Germany Exteriors GmbH, Brand Manager Cedral, Vera Gerdes</w:t>
      </w:r>
    </w:p>
    <w:p w14:paraId="35405B55" w14:textId="77777777" w:rsidR="00103978" w:rsidRDefault="002C77B7">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 xml:space="preserve">für Journalist*innen </w:t>
      </w:r>
      <w:r>
        <w:rPr>
          <w:rFonts w:ascii="Arial Narrow" w:eastAsia="Arial Narrow" w:hAnsi="Arial Narrow" w:cs="Arial Narrow"/>
          <w:sz w:val="18"/>
          <w:szCs w:val="18"/>
        </w:rPr>
        <w:tab/>
        <w:t>vera.gerdes@etexgroup.com</w:t>
      </w:r>
    </w:p>
    <w:p w14:paraId="00FC929E" w14:textId="77777777" w:rsidR="00103978" w:rsidRDefault="00103978">
      <w:pPr>
        <w:spacing w:line="220" w:lineRule="auto"/>
        <w:jc w:val="both"/>
        <w:rPr>
          <w:rFonts w:ascii="Arial Narrow" w:eastAsia="Arial Narrow" w:hAnsi="Arial Narrow" w:cs="Arial Narrow"/>
          <w:sz w:val="18"/>
          <w:szCs w:val="18"/>
        </w:rPr>
      </w:pPr>
    </w:p>
    <w:p w14:paraId="7491567E" w14:textId="77777777" w:rsidR="00103978" w:rsidRDefault="002C77B7">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
      </w:r>
      <w:r>
        <w:rPr>
          <w:rFonts w:ascii="Arial Narrow" w:eastAsia="Arial Narrow" w:hAnsi="Arial Narrow" w:cs="Arial Narrow"/>
          <w:sz w:val="18"/>
          <w:szCs w:val="18"/>
        </w:rPr>
        <w:tab/>
        <w:t>mai public relations GmbH, Julia Wolter</w:t>
      </w:r>
    </w:p>
    <w:p w14:paraId="06B0083A" w14:textId="77777777" w:rsidR="00103978" w:rsidRDefault="002C77B7">
      <w:pPr>
        <w:spacing w:line="220" w:lineRule="auto"/>
        <w:jc w:val="both"/>
        <w:rPr>
          <w:rFonts w:ascii="Arial Narrow" w:eastAsia="Arial Narrow" w:hAnsi="Arial Narrow" w:cs="Arial Narrow"/>
          <w:sz w:val="18"/>
          <w:szCs w:val="18"/>
        </w:rPr>
      </w:pPr>
      <w:r>
        <w:rPr>
          <w:rFonts w:ascii="Arial Narrow" w:eastAsia="Arial Narrow" w:hAnsi="Arial Narrow" w:cs="Arial Narrow"/>
          <w:sz w:val="18"/>
          <w:szCs w:val="18"/>
        </w:rPr>
        <w:tab/>
      </w:r>
      <w:r>
        <w:rPr>
          <w:rFonts w:ascii="Arial Narrow" w:eastAsia="Arial Narrow" w:hAnsi="Arial Narrow" w:cs="Arial Narrow"/>
          <w:sz w:val="18"/>
          <w:szCs w:val="18"/>
        </w:rPr>
        <w:tab/>
        <w:t>T 030 66 40 40 551, cedral@maipr.com</w:t>
      </w:r>
    </w:p>
    <w:sectPr w:rsidR="00103978">
      <w:headerReference w:type="even" r:id="rId16"/>
      <w:headerReference w:type="default" r:id="rId17"/>
      <w:footerReference w:type="even" r:id="rId18"/>
      <w:footerReference w:type="default" r:id="rId19"/>
      <w:headerReference w:type="first" r:id="rId20"/>
      <w:footerReference w:type="first" r:id="rId21"/>
      <w:pgSz w:w="11900" w:h="16840"/>
      <w:pgMar w:top="2552" w:right="2119" w:bottom="1559" w:left="226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047F2" w14:textId="77777777" w:rsidR="00345F07" w:rsidRDefault="00345F07">
      <w:r>
        <w:separator/>
      </w:r>
    </w:p>
  </w:endnote>
  <w:endnote w:type="continuationSeparator" w:id="0">
    <w:p w14:paraId="1F1C4347" w14:textId="77777777" w:rsidR="00345F07" w:rsidRDefault="00345F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FDD048A6-5093-2D48-BDB6-E1D571ACCED4}"/>
  </w:font>
  <w:font w:name="Times New Roman">
    <w:panose1 w:val="02020603050405020304"/>
    <w:charset w:val="00"/>
    <w:family w:val="roman"/>
    <w:pitch w:val="variable"/>
    <w:sig w:usb0="E0002EFF" w:usb1="C000785B" w:usb2="00000009" w:usb3="00000000" w:csb0="000001FF" w:csb1="00000000"/>
    <w:embedRegular r:id="rId3" w:fontKey="{BD6092ED-586D-A24B-BC85-DCECD08E6907}"/>
    <w:embedBold r:id="rId4" w:fontKey="{7EE04CB9-46E0-FE45-9F24-E826244F6921}"/>
    <w:embedItalic r:id="rId5" w:fontKey="{C14830C2-FABC-214E-A0D9-78EAF2CDD3FE}"/>
    <w:embedBoldItalic r:id="rId6" w:fontKey="{452BCED5-41FC-5D4A-A97E-C1BD42A2F753}"/>
  </w:font>
  <w:font w:name="Calibri">
    <w:panose1 w:val="020F0502020204030204"/>
    <w:charset w:val="00"/>
    <w:family w:val="swiss"/>
    <w:pitch w:val="variable"/>
    <w:sig w:usb0="E0002AFF" w:usb1="C000247B" w:usb2="00000009" w:usb3="00000000" w:csb0="000001FF" w:csb1="00000000"/>
    <w:embedRegular r:id="rId7" w:fontKey="{8FDACBB4-0FA7-0D41-9CA6-ED8BA5C57438}"/>
  </w:font>
  <w:font w:name="Tahoma">
    <w:panose1 w:val="020B0604030504040204"/>
    <w:charset w:val="00"/>
    <w:family w:val="swiss"/>
    <w:pitch w:val="variable"/>
    <w:sig w:usb0="E1002EFF" w:usb1="C000605B" w:usb2="00000029" w:usb3="00000000" w:csb0="000101FF" w:csb1="00000000"/>
    <w:embedRegular r:id="rId8" w:fontKey="{90B7120C-5BB5-CF43-B662-DC26293E6EE1}"/>
  </w:font>
  <w:font w:name="Franklin Gothic Book">
    <w:panose1 w:val="020B0503020102020204"/>
    <w:charset w:val="00"/>
    <w:family w:val="swiss"/>
    <w:pitch w:val="variable"/>
    <w:sig w:usb0="00000287" w:usb1="00000000" w:usb2="00000000" w:usb3="00000000" w:csb0="0000009F" w:csb1="00000000"/>
    <w:embedRegular r:id="rId9" w:fontKey="{E12915B4-080B-594C-84F7-837EF970E9C8}"/>
  </w:font>
  <w:font w:name="TheMix-Plain">
    <w:altName w:val="Cambria"/>
    <w:panose1 w:val="020B0604020202020204"/>
    <w:charset w:val="4D"/>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11" w:fontKey="{9D0181DA-D3EA-F14B-B3BC-AA665533FD03}"/>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B0604020202020204"/>
    <w:charset w:val="00"/>
    <w:family w:val="auto"/>
    <w:pitch w:val="variable"/>
    <w:sig w:usb0="E00002FF" w:usb1="5000205A" w:usb2="00000000" w:usb3="00000000" w:csb0="0000019F" w:csb1="00000000"/>
  </w:font>
  <w:font w:name="Courier">
    <w:panose1 w:val="02070309020205020404"/>
    <w:charset w:val="00"/>
    <w:family w:val="modern"/>
    <w:pitch w:val="fixed"/>
    <w:sig w:usb0="E0002AFF" w:usb1="C0007843" w:usb2="00000009" w:usb3="00000000" w:csb0="000001FF" w:csb1="00000000"/>
    <w:embedRegular r:id="rId13" w:fontKey="{2206F326-202E-3743-8C8A-A7E105B5CB8D}"/>
  </w:font>
  <w:font w:name="Georgia">
    <w:panose1 w:val="02040502050405020303"/>
    <w:charset w:val="00"/>
    <w:family w:val="roman"/>
    <w:pitch w:val="variable"/>
    <w:sig w:usb0="00000287" w:usb1="00000000" w:usb2="00000000" w:usb3="00000000" w:csb0="0000009F" w:csb1="00000000"/>
    <w:embedItalic r:id="rId14" w:fontKey="{1AC2ED62-8580-844D-8CF2-ACC33FFB1BAB}"/>
  </w:font>
  <w:font w:name="Trebuchet MS">
    <w:panose1 w:val="020B0603020202020204"/>
    <w:charset w:val="00"/>
    <w:family w:val="swiss"/>
    <w:pitch w:val="variable"/>
    <w:sig w:usb0="00000287" w:usb1="00000000" w:usb2="00000000" w:usb3="00000000" w:csb0="0000009F" w:csb1="00000000"/>
    <w:embedRegular r:id="rId15" w:fontKey="{8A49E409-7118-1948-910D-7BDA7A59D6B5}"/>
  </w:font>
  <w:font w:name="Arial Narrow">
    <w:panose1 w:val="020B0606020202030204"/>
    <w:charset w:val="00"/>
    <w:family w:val="swiss"/>
    <w:pitch w:val="variable"/>
    <w:sig w:usb0="00000287" w:usb1="00000800" w:usb2="00000000" w:usb3="00000000" w:csb0="0000009F" w:csb1="00000000"/>
    <w:embedRegular r:id="rId16" w:fontKey="{EC2FC015-A351-0441-91AA-A79A08154415}"/>
    <w:embedBold r:id="rId17" w:fontKey="{73A21A79-EF15-334A-B330-FFB0281F60DB}"/>
    <w:embedItalic r:id="rId18" w:fontKey="{91A5FC39-8CCB-8C40-A923-F58C68F93E20}"/>
  </w:font>
  <w:font w:name="Aptos">
    <w:panose1 w:val="020B0004020202020204"/>
    <w:charset w:val="00"/>
    <w:family w:val="swiss"/>
    <w:pitch w:val="variable"/>
    <w:sig w:usb0="20000287" w:usb1="00000003" w:usb2="00000000" w:usb3="00000000" w:csb0="0000019F" w:csb1="00000000"/>
    <w:embedRegular r:id="rId19" w:fontKey="{C103EF16-4A79-9045-9E70-154DDEAE63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51F98" w14:textId="3CC2C306" w:rsidR="00103978" w:rsidRDefault="002C77B7">
    <w:pPr>
      <w:pBdr>
        <w:top w:val="nil"/>
        <w:left w:val="nil"/>
        <w:bottom w:val="nil"/>
        <w:right w:val="nil"/>
        <w:between w:val="nil"/>
      </w:pBdr>
      <w:tabs>
        <w:tab w:val="center" w:pos="4536"/>
        <w:tab w:val="right" w:pos="9072"/>
      </w:tabs>
      <w:rPr>
        <w:color w:val="000000"/>
      </w:rPr>
    </w:pPr>
    <w:r>
      <w:rPr>
        <w:noProof/>
        <w:color w:val="000000"/>
      </w:rPr>
      <mc:AlternateContent>
        <mc:Choice Requires="wps">
          <w:drawing>
            <wp:anchor distT="0" distB="0" distL="0" distR="0" simplePos="0" relativeHeight="251664384" behindDoc="0" locked="0" layoutInCell="1" allowOverlap="1" wp14:anchorId="16C091A0" wp14:editId="03919F5F">
              <wp:simplePos x="635" y="635"/>
              <wp:positionH relativeFrom="page">
                <wp:align>center</wp:align>
              </wp:positionH>
              <wp:positionV relativeFrom="page">
                <wp:align>bottom</wp:align>
              </wp:positionV>
              <wp:extent cx="4770755" cy="376555"/>
              <wp:effectExtent l="0" t="0" r="10795" b="0"/>
              <wp:wrapNone/>
              <wp:docPr id="1019932214" name="Textfeld 4" descr="INTERNAL USE – This information should not be shared outside of Etex unless authorized to do so / except with certain authorized external partner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770755" cy="376555"/>
                      </a:xfrm>
                      <a:prstGeom prst="rect">
                        <a:avLst/>
                      </a:prstGeom>
                      <a:noFill/>
                      <a:ln>
                        <a:noFill/>
                      </a:ln>
                    </wps:spPr>
                    <wps:txbx>
                      <w:txbxContent>
                        <w:p w14:paraId="0594882D" w14:textId="2E38EA16" w:rsidR="002C77B7" w:rsidRPr="002C77B7" w:rsidRDefault="002C77B7" w:rsidP="002C77B7">
                          <w:pPr>
                            <w:rPr>
                              <w:rFonts w:ascii="Aptos" w:eastAsia="Aptos" w:hAnsi="Aptos" w:cs="Aptos"/>
                              <w:noProof/>
                              <w:color w:val="000000"/>
                              <w:sz w:val="12"/>
                              <w:szCs w:val="12"/>
                            </w:rPr>
                          </w:pPr>
                          <w:r w:rsidRPr="002C77B7">
                            <w:rPr>
                              <w:rFonts w:ascii="Aptos" w:eastAsia="Aptos" w:hAnsi="Aptos" w:cs="Aptos"/>
                              <w:noProof/>
                              <w:color w:val="000000"/>
                              <w:sz w:val="12"/>
                              <w:szCs w:val="12"/>
                            </w:rPr>
                            <w:t>INTERNAL USE – This information should not be shared outside of Etex unless authorized to do so / except with certain authorized external partners.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6C091A0" id="_x0000_t202" coordsize="21600,21600" o:spt="202" path="m,l,21600r21600,l21600,xe">
              <v:stroke joinstyle="miter"/>
              <v:path gradientshapeok="t" o:connecttype="rect"/>
            </v:shapetype>
            <v:shape id="Textfeld 4" o:spid="_x0000_s1028" type="#_x0000_t202" alt="INTERNAL USE – This information should not be shared outside of Etex unless authorized to do so / except with certain authorized external partners." style="position:absolute;margin-left:0;margin-top:0;width:375.65pt;height:29.65pt;z-index:2516643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" filled="f" stroked="f">
              <v:fill o:detectmouseclick="t"/>
              <v:textbox style="mso-fit-shape-to-text:t" inset="0,0,0,15pt">
                <w:txbxContent>
                  <w:p w14:paraId="0594882D" w14:textId="2E38EA16" w:rsidR="002C77B7" w:rsidRPr="002C77B7" w:rsidRDefault="002C77B7" w:rsidP="002C77B7">
                    <w:pPr>
                      <w:rPr>
                        <w:rFonts w:ascii="Aptos" w:eastAsia="Aptos" w:hAnsi="Aptos" w:cs="Aptos"/>
                        <w:noProof/>
                        <w:color w:val="000000"/>
                        <w:sz w:val="12"/>
                        <w:szCs w:val="12"/>
                      </w:rPr>
                    </w:pPr>
                    <w:r w:rsidRPr="002C77B7">
                      <w:rPr>
                        <w:rFonts w:ascii="Aptos" w:eastAsia="Aptos" w:hAnsi="Aptos" w:cs="Aptos"/>
                        <w:noProof/>
                        <w:color w:val="000000"/>
                        <w:sz w:val="12"/>
                        <w:szCs w:val="12"/>
                      </w:rPr>
                      <w:t>INTERNAL USE – This information should not be shared outside of Etex unless authorized to do so / except with certain authorized external partners.</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56DDB" w14:textId="08626F8F" w:rsidR="00103978" w:rsidRDefault="002C77B7">
    <w:pPr>
      <w:pBdr>
        <w:top w:val="nil"/>
        <w:left w:val="nil"/>
        <w:bottom w:val="nil"/>
        <w:right w:val="nil"/>
        <w:between w:val="nil"/>
      </w:pBdr>
      <w:tabs>
        <w:tab w:val="center" w:pos="4536"/>
        <w:tab w:val="right" w:pos="9072"/>
      </w:tabs>
      <w:rPr>
        <w:color w:val="000000"/>
      </w:rPr>
    </w:pPr>
    <w:r>
      <w:rPr>
        <w:noProof/>
      </w:rPr>
      <w:drawing>
        <wp:anchor distT="0" distB="0" distL="114300" distR="114300" simplePos="0" relativeHeight="251660288" behindDoc="0" locked="0" layoutInCell="1" hidden="0" allowOverlap="1" wp14:anchorId="7677BB16" wp14:editId="435E88CE">
          <wp:simplePos x="0" y="0"/>
          <wp:positionH relativeFrom="column">
            <wp:posOffset>4192904</wp:posOffset>
          </wp:positionH>
          <wp:positionV relativeFrom="paragraph">
            <wp:posOffset>0</wp:posOffset>
          </wp:positionV>
          <wp:extent cx="1898650" cy="508000"/>
          <wp:effectExtent l="0" t="0" r="0" b="0"/>
          <wp:wrapSquare wrapText="bothSides" distT="0" distB="0" distL="114300" distR="114300"/>
          <wp:docPr id="190940677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898650" cy="508000"/>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60B806" w14:textId="74DBAEEF" w:rsidR="00103978" w:rsidRDefault="002C77B7">
    <w:pPr>
      <w:pBdr>
        <w:top w:val="nil"/>
        <w:left w:val="nil"/>
        <w:bottom w:val="nil"/>
        <w:right w:val="nil"/>
        <w:between w:val="nil"/>
      </w:pBdr>
      <w:tabs>
        <w:tab w:val="center" w:pos="4536"/>
        <w:tab w:val="right" w:pos="9072"/>
      </w:tabs>
      <w:rPr>
        <w:color w:val="000000"/>
      </w:rPr>
    </w:pPr>
    <w:r>
      <w:rPr>
        <w:noProof/>
        <w:color w:val="000000"/>
      </w:rPr>
      <mc:AlternateContent>
        <mc:Choice Requires="wps">
          <w:drawing>
            <wp:anchor distT="0" distB="0" distL="0" distR="0" simplePos="0" relativeHeight="251663360" behindDoc="0" locked="0" layoutInCell="1" allowOverlap="1" wp14:anchorId="2AD2F93E" wp14:editId="7717FEE5">
              <wp:simplePos x="635" y="635"/>
              <wp:positionH relativeFrom="page">
                <wp:align>center</wp:align>
              </wp:positionH>
              <wp:positionV relativeFrom="page">
                <wp:align>bottom</wp:align>
              </wp:positionV>
              <wp:extent cx="4770755" cy="376555"/>
              <wp:effectExtent l="0" t="0" r="10795" b="0"/>
              <wp:wrapNone/>
              <wp:docPr id="808540391" name="Textfeld 3" descr="INTERNAL USE – This information should not be shared outside of Etex unless authorized to do so / except with certain authorized external partner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770755" cy="376555"/>
                      </a:xfrm>
                      <a:prstGeom prst="rect">
                        <a:avLst/>
                      </a:prstGeom>
                      <a:noFill/>
                      <a:ln>
                        <a:noFill/>
                      </a:ln>
                    </wps:spPr>
                    <wps:txbx>
                      <w:txbxContent>
                        <w:p w14:paraId="37FB9B78" w14:textId="4A882076" w:rsidR="002C77B7" w:rsidRPr="002C77B7" w:rsidRDefault="002C77B7" w:rsidP="002C77B7">
                          <w:pPr>
                            <w:rPr>
                              <w:rFonts w:ascii="Aptos" w:eastAsia="Aptos" w:hAnsi="Aptos" w:cs="Aptos"/>
                              <w:noProof/>
                              <w:color w:val="000000"/>
                              <w:sz w:val="12"/>
                              <w:szCs w:val="12"/>
                            </w:rPr>
                          </w:pPr>
                          <w:r w:rsidRPr="002C77B7">
                            <w:rPr>
                              <w:rFonts w:ascii="Aptos" w:eastAsia="Aptos" w:hAnsi="Aptos" w:cs="Aptos"/>
                              <w:noProof/>
                              <w:color w:val="000000"/>
                              <w:sz w:val="12"/>
                              <w:szCs w:val="12"/>
                            </w:rPr>
                            <w:t>INTERNAL USE – This information should not be shared outside of Etex unless authorized to do so / except with certain authorized external partners.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AD2F93E" id="_x0000_t202" coordsize="21600,21600" o:spt="202" path="m,l,21600r21600,l21600,xe">
              <v:stroke joinstyle="miter"/>
              <v:path gradientshapeok="t" o:connecttype="rect"/>
            </v:shapetype>
            <v:shape id="Textfeld 3" o:spid="_x0000_s1030" type="#_x0000_t202" alt="INTERNAL USE – This information should not be shared outside of Etex unless authorized to do so / except with certain authorized external partners." style="position:absolute;margin-left:0;margin-top:0;width:375.65pt;height:29.65pt;z-index:251663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" filled="f" stroked="f">
              <v:fill o:detectmouseclick="t"/>
              <v:textbox style="mso-fit-shape-to-text:t" inset="0,0,0,15pt">
                <w:txbxContent>
                  <w:p w14:paraId="37FB9B78" w14:textId="4A882076" w:rsidR="002C77B7" w:rsidRPr="002C77B7" w:rsidRDefault="002C77B7" w:rsidP="002C77B7">
                    <w:pPr>
                      <w:rPr>
                        <w:rFonts w:ascii="Aptos" w:eastAsia="Aptos" w:hAnsi="Aptos" w:cs="Aptos"/>
                        <w:noProof/>
                        <w:color w:val="000000"/>
                        <w:sz w:val="12"/>
                        <w:szCs w:val="12"/>
                      </w:rPr>
                    </w:pPr>
                    <w:r w:rsidRPr="002C77B7">
                      <w:rPr>
                        <w:rFonts w:ascii="Aptos" w:eastAsia="Aptos" w:hAnsi="Aptos" w:cs="Aptos"/>
                        <w:noProof/>
                        <w:color w:val="000000"/>
                        <w:sz w:val="12"/>
                        <w:szCs w:val="12"/>
                      </w:rPr>
                      <w:t>INTERNAL USE – This information should not be shared outside of Etex unless authorized to do so / except with certain authorized external partners.</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227E0" w14:textId="77777777" w:rsidR="00345F07" w:rsidRDefault="00345F07">
      <w:r>
        <w:separator/>
      </w:r>
    </w:p>
  </w:footnote>
  <w:footnote w:type="continuationSeparator" w:id="0">
    <w:p w14:paraId="3FFA4A4A" w14:textId="77777777" w:rsidR="00345F07" w:rsidRDefault="00345F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BA21F" w14:textId="77777777" w:rsidR="00506BFE" w:rsidRDefault="00506BF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E8F11" w14:textId="3E9BC7FC" w:rsidR="00103978" w:rsidRDefault="00346539">
    <w:pPr>
      <w:pBdr>
        <w:top w:val="nil"/>
        <w:left w:val="nil"/>
        <w:bottom w:val="nil"/>
        <w:right w:val="nil"/>
        <w:between w:val="nil"/>
      </w:pBdr>
      <w:tabs>
        <w:tab w:val="center" w:pos="4536"/>
        <w:tab w:val="right" w:pos="9072"/>
      </w:tabs>
      <w:ind w:left="-567" w:right="747"/>
      <w:rPr>
        <w:color w:val="000000"/>
      </w:rPr>
    </w:pPr>
    <w:r>
      <w:rPr>
        <w:noProof/>
      </w:rPr>
      <mc:AlternateContent>
        <mc:Choice Requires="wps">
          <w:drawing>
            <wp:anchor distT="0" distB="0" distL="114300" distR="114300" simplePos="0" relativeHeight="251662336" behindDoc="0" locked="0" layoutInCell="1" allowOverlap="1" wp14:anchorId="7953D43A" wp14:editId="3EBA974F">
              <wp:simplePos x="0" y="0"/>
              <wp:positionH relativeFrom="column">
                <wp:posOffset>-1003300</wp:posOffset>
              </wp:positionH>
              <wp:positionV relativeFrom="paragraph">
                <wp:posOffset>652308</wp:posOffset>
              </wp:positionV>
              <wp:extent cx="685800" cy="8439150"/>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8439150"/>
                      </a:xfrm>
                      <a:prstGeom prst="rect">
                        <a:avLst/>
                      </a:prstGeom>
                      <a:noFill/>
                      <a:ln>
                        <a:noFill/>
                      </a:ln>
                      <a:effectLst/>
                      <a:extLst>
                        <a:ext uri="{909E8E84-426E-40dd-AFC4-6F175D3DCCD1}">
                          <a14:hiddenFil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AF507438-7753-43e0-B8FC-AC1667EBCBE1}">
                          <a14:hiddenEffects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63500" dist="38099" dir="2700000" algn="ctr" rotWithShape="0">
                                <a:srgbClr val="000000">
                                  <a:alpha val="74998"/>
                                </a:srgbClr>
                              </a:outerShdw>
                            </a:effectLst>
                          </a14:hiddenEffects>
                        </a:ext>
                      </a:extLst>
                    </wps:spPr>
                    <wps:txbx>
                      <w:txbxContent>
                        <w:p w14:paraId="3EAE450D" w14:textId="77777777" w:rsidR="00346539" w:rsidRPr="00B40CBF" w:rsidRDefault="00346539" w:rsidP="00346539">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53D43A" id="_x0000_t202" coordsize="21600,21600" o:spt="202" path="m,l,21600r21600,l21600,xe">
              <v:stroke joinstyle="miter"/>
              <v:path gradientshapeok="t" o:connecttype="rect"/>
            </v:shapetype>
            <v:shape id="Text Box 3" o:spid="_x0000_s1027" type="#_x0000_t202" style="position:absolute;left:0;text-align:left;margin-left:-79pt;margin-top:51.35pt;width:54pt;height:66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" filled="f" stroked="f">
              <v:textbox style="layout-flow:vertical;mso-layout-flow-alt:bottom-to-top">
                <w:txbxContent>
                  <w:p w14:paraId="3EAE450D" w14:textId="77777777" w:rsidR="00346539" w:rsidRPr="00B40CBF" w:rsidRDefault="00346539" w:rsidP="00346539">
                    <w:pPr>
                      <w:rPr>
                        <w:rFonts w:ascii="Arial Narrow" w:hAnsi="Arial Narrow"/>
                        <w:b/>
                        <w:color w:val="969696"/>
                        <w:spacing w:val="402"/>
                        <w:sz w:val="48"/>
                        <w:szCs w:val="48"/>
                      </w:rPr>
                    </w:pPr>
                    <w:r w:rsidRPr="00B40CBF">
                      <w:rPr>
                        <w:rFonts w:ascii="Arial Narrow" w:hAnsi="Arial Narrow"/>
                        <w:b/>
                        <w:color w:val="969696"/>
                        <w:spacing w:val="402"/>
                        <w:sz w:val="48"/>
                        <w:szCs w:val="48"/>
                      </w:rPr>
                      <w:t>PRESSE - INFORMATION</w:t>
                    </w:r>
                  </w:p>
                </w:txbxContent>
              </v:textbox>
            </v:shape>
          </w:pict>
        </mc:Fallback>
      </mc:AlternateContent>
    </w:r>
    <w:r>
      <w:rPr>
        <w:noProof/>
      </w:rPr>
      <w:drawing>
        <wp:anchor distT="0" distB="0" distL="114300" distR="114300" simplePos="0" relativeHeight="251659264" behindDoc="0" locked="0" layoutInCell="1" hidden="0" allowOverlap="1" wp14:anchorId="56B43E79" wp14:editId="192BC196">
          <wp:simplePos x="0" y="0"/>
          <wp:positionH relativeFrom="column">
            <wp:posOffset>4364990</wp:posOffset>
          </wp:positionH>
          <wp:positionV relativeFrom="paragraph">
            <wp:posOffset>-66199</wp:posOffset>
          </wp:positionV>
          <wp:extent cx="1324610" cy="284480"/>
          <wp:effectExtent l="0" t="0" r="0" b="0"/>
          <wp:wrapSquare wrapText="bothSides" distT="0" distB="0" distL="114300" distR="114300"/>
          <wp:docPr id="190940677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1324610" cy="28448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7E6D2" w14:textId="77777777" w:rsidR="00506BFE" w:rsidRDefault="00506BF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B95A96"/>
    <w:multiLevelType w:val="multilevel"/>
    <w:tmpl w:val="F34681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8985942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3978"/>
    <w:rsid w:val="000A32E6"/>
    <w:rsid w:val="00102E9A"/>
    <w:rsid w:val="00103978"/>
    <w:rsid w:val="001445E3"/>
    <w:rsid w:val="00147E5C"/>
    <w:rsid w:val="00152192"/>
    <w:rsid w:val="0026674C"/>
    <w:rsid w:val="002C77B7"/>
    <w:rsid w:val="00345F07"/>
    <w:rsid w:val="00346539"/>
    <w:rsid w:val="00385887"/>
    <w:rsid w:val="003D215D"/>
    <w:rsid w:val="00481A76"/>
    <w:rsid w:val="004D6C2A"/>
    <w:rsid w:val="00506BFE"/>
    <w:rsid w:val="00605A29"/>
    <w:rsid w:val="006A5F15"/>
    <w:rsid w:val="006E4C33"/>
    <w:rsid w:val="007C08FE"/>
    <w:rsid w:val="007F5A54"/>
    <w:rsid w:val="00991F4C"/>
    <w:rsid w:val="009C4831"/>
    <w:rsid w:val="00A605A2"/>
    <w:rsid w:val="00C756F1"/>
    <w:rsid w:val="00C90B67"/>
    <w:rsid w:val="00CE6C99"/>
    <w:rsid w:val="00D30BB0"/>
    <w:rsid w:val="00D671F2"/>
    <w:rsid w:val="00DF45FC"/>
    <w:rsid w:val="00E041DA"/>
    <w:rsid w:val="00E32EEE"/>
    <w:rsid w:val="00E400ED"/>
    <w:rsid w:val="00E47739"/>
    <w:rsid w:val="00E75751"/>
    <w:rsid w:val="00F64416"/>
    <w:rsid w:val="00FD36C0"/>
    <w:rsid w:val="00FF2B7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916BA6"/>
  <w15:docId w15:val="{CD50AE6F-47FF-1543-9F49-51F4BA89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240"/>
      <w:outlineLvl w:val="0"/>
    </w:pPr>
    <w:rPr>
      <w:rFonts w:ascii="Calibri" w:eastAsia="Calibri" w:hAnsi="Calibri" w:cs="Calibri"/>
      <w:color w:val="366091"/>
      <w:sz w:val="32"/>
      <w:szCs w:val="32"/>
    </w:rPr>
  </w:style>
  <w:style w:type="paragraph" w:styleId="berschrift2">
    <w:name w:val="heading 2"/>
    <w:basedOn w:val="Standard"/>
    <w:next w:val="Standard"/>
    <w:uiPriority w:val="9"/>
    <w:semiHidden/>
    <w:unhideWhenUsed/>
    <w:qFormat/>
    <w:pPr>
      <w:keepNext/>
      <w:keepLines/>
      <w:spacing w:before="40"/>
      <w:outlineLvl w:val="1"/>
    </w:pPr>
    <w:rPr>
      <w:rFonts w:ascii="Calibri" w:eastAsia="Calibri" w:hAnsi="Calibri" w:cs="Calibri"/>
      <w:color w:val="366091"/>
      <w:sz w:val="26"/>
      <w:szCs w:val="26"/>
    </w:rPr>
  </w:style>
  <w:style w:type="paragraph" w:styleId="berschrift3">
    <w:name w:val="heading 3"/>
    <w:basedOn w:val="Standard"/>
    <w:next w:val="Standard"/>
    <w:uiPriority w:val="9"/>
    <w:semiHidden/>
    <w:unhideWhenUsed/>
    <w:qFormat/>
    <w:pPr>
      <w:keepNext/>
      <w:keepLines/>
      <w:spacing w:before="280" w:after="80"/>
      <w:outlineLvl w:val="2"/>
    </w:pPr>
    <w:rPr>
      <w:b/>
      <w:bCs/>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bCs/>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bCs/>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Kopfzeile">
    <w:name w:val="header"/>
    <w:rsid w:val="00B40CBF"/>
    <w:pPr>
      <w:tabs>
        <w:tab w:val="center" w:pos="4536"/>
        <w:tab w:val="right" w:pos="9072"/>
      </w:tabs>
    </w:pPr>
  </w:style>
  <w:style w:type="paragraph" w:styleId="Fuzeile">
    <w:name w:val="footer"/>
    <w:semiHidden/>
    <w:rsid w:val="00B40CBF"/>
    <w:pPr>
      <w:tabs>
        <w:tab w:val="center" w:pos="4536"/>
        <w:tab w:val="right" w:pos="9072"/>
      </w:tabs>
    </w:pPr>
  </w:style>
  <w:style w:type="paragraph" w:styleId="Sprechblasentext">
    <w:name w:val="Balloon Text"/>
    <w:semiHidden/>
    <w:rsid w:val="002B3B17"/>
    <w:rPr>
      <w:rFonts w:ascii="Tahoma" w:hAnsi="Tahoma" w:cs="Tahoma"/>
      <w:sz w:val="16"/>
      <w:szCs w:val="16"/>
    </w:rPr>
  </w:style>
  <w:style w:type="paragraph" w:styleId="Textkrper">
    <w:name w:val="Body Text"/>
    <w:rsid w:val="002B3B17"/>
    <w:rPr>
      <w:rFonts w:ascii="Franklin Gothic Book" w:hAnsi="Franklin Gothic Book"/>
      <w:sz w:val="18"/>
      <w:szCs w:val="18"/>
    </w:rPr>
  </w:style>
  <w:style w:type="character" w:styleId="Hyperlink">
    <w:name w:val="Hyperlink"/>
    <w:rsid w:val="00280837"/>
    <w:rPr>
      <w:color w:val="0000FF"/>
      <w:u w:val="single"/>
    </w:rPr>
  </w:style>
  <w:style w:type="character" w:styleId="Seitenzahl">
    <w:name w:val="page number"/>
    <w:basedOn w:val="Absatz-Standardschriftart"/>
    <w:rsid w:val="00A02710"/>
  </w:style>
  <w:style w:type="character" w:styleId="BesuchterLink">
    <w:name w:val="FollowedHyperlink"/>
    <w:rsid w:val="006A4E8E"/>
    <w:rPr>
      <w:color w:val="800080"/>
      <w:u w:val="single"/>
    </w:rPr>
  </w:style>
  <w:style w:type="paragraph" w:customStyle="1" w:styleId="Default">
    <w:name w:val="Default"/>
    <w:rsid w:val="004E097C"/>
    <w:pPr>
      <w:widowControl w:val="0"/>
      <w:autoSpaceDE w:val="0"/>
      <w:autoSpaceDN w:val="0"/>
      <w:adjustRightInd w:val="0"/>
    </w:pPr>
    <w:rPr>
      <w:rFonts w:ascii="TheMix-Plain" w:hAnsi="TheMix-Plain" w:cs="TheMix-Plain"/>
      <w:color w:val="000000"/>
      <w:sz w:val="24"/>
      <w:szCs w:val="24"/>
    </w:rPr>
  </w:style>
  <w:style w:type="character" w:styleId="Kommentarzeichen">
    <w:name w:val="annotation reference"/>
    <w:semiHidden/>
    <w:rsid w:val="005D2D3C"/>
    <w:rPr>
      <w:sz w:val="16"/>
      <w:szCs w:val="16"/>
    </w:rPr>
  </w:style>
  <w:style w:type="paragraph" w:styleId="Kommentartext">
    <w:name w:val="annotation text"/>
    <w:semiHidden/>
    <w:rsid w:val="005D2D3C"/>
  </w:style>
  <w:style w:type="paragraph" w:styleId="Kommentarthema">
    <w:name w:val="annotation subject"/>
    <w:basedOn w:val="Kommentartext"/>
    <w:next w:val="Kommentartext"/>
    <w:semiHidden/>
    <w:rsid w:val="005D2D3C"/>
    <w:rPr>
      <w:b/>
      <w:bCs/>
    </w:rPr>
  </w:style>
  <w:style w:type="paragraph" w:customStyle="1" w:styleId="HelleListe-Akzent51">
    <w:name w:val="Helle Liste - Akzent 51"/>
    <w:uiPriority w:val="34"/>
    <w:qFormat/>
    <w:rsid w:val="00672F54"/>
    <w:pPr>
      <w:spacing w:after="200"/>
      <w:ind w:left="720"/>
      <w:contextualSpacing/>
    </w:pPr>
    <w:rPr>
      <w:rFonts w:ascii="Cambria" w:eastAsia="MS Mincho" w:hAnsi="Cambria"/>
      <w:sz w:val="24"/>
      <w:szCs w:val="24"/>
      <w:lang w:eastAsia="ja-JP"/>
    </w:rPr>
  </w:style>
  <w:style w:type="paragraph" w:styleId="StandardWeb">
    <w:name w:val="Normal (Web)"/>
    <w:uiPriority w:val="99"/>
    <w:unhideWhenUsed/>
    <w:rsid w:val="004B466A"/>
    <w:pPr>
      <w:spacing w:before="100" w:beforeAutospacing="1" w:after="100" w:afterAutospacing="1"/>
    </w:pPr>
    <w:rPr>
      <w:rFonts w:ascii="Times" w:hAnsi="Times"/>
    </w:rPr>
  </w:style>
  <w:style w:type="paragraph" w:customStyle="1" w:styleId="bodytext">
    <w:name w:val="bodytext"/>
    <w:rsid w:val="004437A8"/>
    <w:pPr>
      <w:spacing w:before="100" w:beforeAutospacing="1" w:after="100" w:afterAutospacing="1"/>
    </w:pPr>
    <w:rPr>
      <w:rFonts w:ascii="Times" w:hAnsi="Times"/>
    </w:rPr>
  </w:style>
  <w:style w:type="character" w:customStyle="1" w:styleId="NichtaufgelsteErwhnung1">
    <w:name w:val="Nicht aufgelöste Erwähnung1"/>
    <w:uiPriority w:val="99"/>
    <w:semiHidden/>
    <w:unhideWhenUsed/>
    <w:rsid w:val="00BF6AD5"/>
    <w:rPr>
      <w:color w:val="808080"/>
      <w:shd w:val="clear" w:color="auto" w:fill="E6E6E6"/>
    </w:rPr>
  </w:style>
  <w:style w:type="character" w:customStyle="1" w:styleId="st">
    <w:name w:val="st"/>
    <w:basedOn w:val="Absatz-Standardschriftart"/>
    <w:rsid w:val="008A3A75"/>
  </w:style>
  <w:style w:type="character" w:styleId="Hervorhebung">
    <w:name w:val="Emphasis"/>
    <w:basedOn w:val="Absatz-Standardschriftart"/>
    <w:uiPriority w:val="20"/>
    <w:qFormat/>
    <w:rsid w:val="008A3A75"/>
    <w:rPr>
      <w:i/>
      <w:iCs/>
    </w:rPr>
  </w:style>
  <w:style w:type="paragraph" w:customStyle="1" w:styleId="HS-ABSATZNORMAL">
    <w:name w:val="HS-ABSATZ NORMAL"/>
    <w:rsid w:val="00BA2339"/>
    <w:pPr>
      <w:spacing w:after="240" w:line="360" w:lineRule="exact"/>
    </w:pPr>
    <w:rPr>
      <w:rFonts w:ascii="Courier" w:hAnsi="Courier"/>
      <w:sz w:val="24"/>
    </w:rPr>
  </w:style>
  <w:style w:type="table" w:styleId="Tabellenraster">
    <w:name w:val="Table Grid"/>
    <w:basedOn w:val="NormaleTabelle"/>
    <w:uiPriority w:val="59"/>
    <w:rsid w:val="00BA2339"/>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2">
    <w:name w:val="Nicht aufgelöste Erwähnung2"/>
    <w:basedOn w:val="Absatz-Standardschriftart"/>
    <w:uiPriority w:val="99"/>
    <w:semiHidden/>
    <w:unhideWhenUsed/>
    <w:rsid w:val="001A77F4"/>
    <w:rPr>
      <w:color w:val="605E5C"/>
      <w:shd w:val="clear" w:color="auto" w:fill="E1DFDD"/>
    </w:rPr>
  </w:style>
  <w:style w:type="paragraph" w:styleId="Listenabsatz">
    <w:name w:val="List Paragraph"/>
    <w:uiPriority w:val="34"/>
    <w:qFormat/>
    <w:rsid w:val="00FD3CF1"/>
    <w:pPr>
      <w:ind w:left="720"/>
      <w:contextualSpacing/>
    </w:pPr>
  </w:style>
  <w:style w:type="paragraph" w:styleId="berarbeitung">
    <w:name w:val="Revision"/>
    <w:hidden/>
    <w:uiPriority w:val="99"/>
    <w:semiHidden/>
    <w:rsid w:val="003278A9"/>
  </w:style>
  <w:style w:type="character" w:styleId="NichtaufgelsteErwhnung">
    <w:name w:val="Unresolved Mention"/>
    <w:basedOn w:val="Absatz-Standardschriftart"/>
    <w:uiPriority w:val="99"/>
    <w:semiHidden/>
    <w:unhideWhenUsed/>
    <w:rsid w:val="00A1515E"/>
    <w:rPr>
      <w:color w:val="605E5C"/>
      <w:shd w:val="clear" w:color="auto" w:fill="E1DFDD"/>
    </w:rPr>
  </w:style>
  <w:style w:type="character" w:customStyle="1" w:styleId="berschrift1Zchn">
    <w:name w:val="Überschrift 1 Zchn"/>
    <w:basedOn w:val="Absatz-Standardschriftart"/>
    <w:rsid w:val="00F85DFE"/>
    <w:rPr>
      <w:rFonts w:asciiTheme="majorHAnsi" w:eastAsiaTheme="majorEastAsia" w:hAnsiTheme="majorHAnsi" w:cstheme="majorBidi"/>
      <w:color w:val="365F91" w:themeColor="accent1" w:themeShade="BF"/>
      <w:sz w:val="32"/>
      <w:szCs w:val="32"/>
    </w:rPr>
  </w:style>
  <w:style w:type="character" w:customStyle="1" w:styleId="berschrift2Zchn">
    <w:name w:val="Überschrift 2 Zchn"/>
    <w:basedOn w:val="Absatz-Standardschriftart"/>
    <w:semiHidden/>
    <w:rsid w:val="005F1500"/>
    <w:rPr>
      <w:rFonts w:asciiTheme="majorHAnsi" w:eastAsiaTheme="majorEastAsia" w:hAnsiTheme="majorHAnsi" w:cstheme="majorBidi"/>
      <w:color w:val="365F91" w:themeColor="accent1" w:themeShade="BF"/>
      <w:sz w:val="26"/>
      <w:szCs w:val="26"/>
    </w:rPr>
  </w:style>
  <w:style w:type="table" w:customStyle="1" w:styleId="a">
    <w:basedOn w:val="TableNormal0"/>
    <w:tblPr>
      <w:tblStyleRowBandSize w:val="1"/>
      <w:tblStyleColBandSize w:val="1"/>
      <w:tblCellMar>
        <w:top w:w="15" w:type="dxa"/>
        <w:left w:w="15" w:type="dxa"/>
        <w:bottom w:w="15" w:type="dxa"/>
        <w:right w:w="15" w:type="dxa"/>
      </w:tblCellMar>
    </w:tblPr>
  </w:style>
  <w:style w:type="paragraph" w:styleId="Untertitel">
    <w:name w:val="Subtitle"/>
    <w:basedOn w:val="Standard"/>
    <w:next w:val="Standard"/>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Wywhh+CkW8B+elgtf9LIDLfIuw==">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7ceddd7c-561a-4808-b4c3-1692a3515f20}" enabled="1" method="Standard" siteId="{e23c7299-f64d-4de4-a6a1-b40d3145528c}"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Pages>
  <Words>1608</Words>
  <Characters>10136</Characters>
  <Application>Microsoft Office Word</Application>
  <DocSecurity>0</DocSecurity>
  <Lines>84</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 Konto HB2019</dc:creator>
  <cp:lastModifiedBy>Julia Wolter</cp:lastModifiedBy>
  <cp:revision>5</cp:revision>
  <cp:lastPrinted>2026-02-23T14:00:00Z</cp:lastPrinted>
  <dcterms:created xsi:type="dcterms:W3CDTF">2026-02-11T13:22:00Z</dcterms:created>
  <dcterms:modified xsi:type="dcterms:W3CDTF">2026-02-23T14:00:00Z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0x010100F437A351E0217D4E8B475DCBDE6B614F</vt:lpwstr>
  </property>
  <property fmtid="{D5CDD505-2E9C-101B-9397-08002B2CF9AE}" pid="3" name="ClassificationContentMarkingFooterShapeIds">
    <vt:lpwstr>303158e7,3ccaee36,5b6128e0</vt:lpwstr>
  </property>
  <property fmtid="{D5CDD505-2E9C-101B-9397-08002B2CF9AE}" pid="4" name="ClassificationContentMarkingFooterFontProps">
    <vt:lpwstr>#000000,6,Aptos</vt:lpwstr>
  </property>
  <property fmtid="{D5CDD505-2E9C-101B-9397-08002B2CF9AE}" pid="5" name="ClassificationContentMarkingFooterText">
    <vt:lpwstr>INTERNAL USE – This information should not be shared outside of Etex unless authorized to do so / except with certain authorized external partners.</vt:lpwstr>
  </property>
</Properties>
</file>