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2028FF" w14:textId="77777777" w:rsidR="0092267B" w:rsidRPr="00D93C48" w:rsidRDefault="0092267B" w:rsidP="00F51C59">
      <w:pPr>
        <w:spacing w:after="0" w:line="240" w:lineRule="auto"/>
        <w:rPr>
          <w:rFonts w:ascii="Arial" w:hAnsi="Arial" w:cs="Arial"/>
        </w:rPr>
      </w:pPr>
    </w:p>
    <w:p w14:paraId="57202900" w14:textId="32326434" w:rsidR="000B15B8" w:rsidRPr="00D93C48" w:rsidRDefault="000B15B8" w:rsidP="00F51C59">
      <w:pPr>
        <w:spacing w:after="0" w:line="240" w:lineRule="auto"/>
        <w:rPr>
          <w:rFonts w:ascii="Arial" w:hAnsi="Arial" w:cs="Arial"/>
          <w:b/>
          <w:bCs/>
          <w:sz w:val="32"/>
          <w:szCs w:val="32"/>
        </w:rPr>
      </w:pPr>
      <w:r w:rsidRPr="00D93C48">
        <w:rPr>
          <w:rFonts w:ascii="Arial" w:hAnsi="Arial" w:cs="Arial"/>
          <w:b/>
          <w:bCs/>
          <w:sz w:val="32"/>
          <w:szCs w:val="32"/>
        </w:rPr>
        <w:t>Communiqué de presse</w:t>
      </w:r>
      <w:r w:rsidR="0092379E" w:rsidRPr="00D93C48">
        <w:rPr>
          <w:rFonts w:ascii="Arial" w:hAnsi="Arial" w:cs="Arial"/>
          <w:b/>
          <w:bCs/>
          <w:sz w:val="32"/>
          <w:szCs w:val="32"/>
        </w:rPr>
        <w:t xml:space="preserve"> 0</w:t>
      </w:r>
      <w:r w:rsidR="00923F8C" w:rsidRPr="00D93C48">
        <w:rPr>
          <w:rFonts w:ascii="Arial" w:hAnsi="Arial" w:cs="Arial"/>
          <w:b/>
          <w:bCs/>
          <w:sz w:val="32"/>
          <w:szCs w:val="32"/>
        </w:rPr>
        <w:t>6</w:t>
      </w:r>
      <w:r w:rsidR="0092379E" w:rsidRPr="00D93C48">
        <w:rPr>
          <w:rFonts w:ascii="Arial" w:hAnsi="Arial" w:cs="Arial"/>
          <w:b/>
          <w:bCs/>
          <w:sz w:val="32"/>
          <w:szCs w:val="32"/>
        </w:rPr>
        <w:t>/2025</w:t>
      </w:r>
    </w:p>
    <w:p w14:paraId="57202901" w14:textId="77777777" w:rsidR="00F51C59" w:rsidRPr="00D93C48" w:rsidRDefault="00F51C59" w:rsidP="00F51C59">
      <w:pPr>
        <w:spacing w:after="0" w:line="240" w:lineRule="auto"/>
        <w:rPr>
          <w:rFonts w:ascii="Arial" w:hAnsi="Arial" w:cs="Arial"/>
        </w:rPr>
      </w:pPr>
    </w:p>
    <w:p w14:paraId="02981A22" w14:textId="77777777" w:rsidR="00923F8C" w:rsidRPr="00D93C48" w:rsidRDefault="00923F8C" w:rsidP="00923F8C">
      <w:pPr>
        <w:spacing w:after="0" w:line="240" w:lineRule="auto"/>
        <w:rPr>
          <w:rFonts w:ascii="Arial" w:hAnsi="Arial" w:cs="Arial"/>
          <w:b/>
          <w:sz w:val="28"/>
          <w:szCs w:val="28"/>
        </w:rPr>
      </w:pPr>
      <w:r w:rsidRPr="00D93C48">
        <w:rPr>
          <w:rFonts w:ascii="Arial" w:hAnsi="Arial" w:cs="Arial"/>
          <w:b/>
          <w:sz w:val="28"/>
          <w:szCs w:val="28"/>
        </w:rPr>
        <w:t xml:space="preserve">Condensé de connaissances en matière de planification : Office on Stage #1 </w:t>
      </w:r>
      <w:proofErr w:type="spellStart"/>
      <w:r w:rsidRPr="00D93C48">
        <w:rPr>
          <w:rFonts w:ascii="Arial" w:hAnsi="Arial" w:cs="Arial"/>
          <w:b/>
          <w:sz w:val="28"/>
          <w:szCs w:val="28"/>
        </w:rPr>
        <w:t>Corporate</w:t>
      </w:r>
      <w:proofErr w:type="spellEnd"/>
      <w:r w:rsidRPr="00D93C48">
        <w:rPr>
          <w:rFonts w:ascii="Arial" w:hAnsi="Arial" w:cs="Arial"/>
          <w:b/>
          <w:sz w:val="28"/>
          <w:szCs w:val="28"/>
        </w:rPr>
        <w:t xml:space="preserve"> </w:t>
      </w:r>
      <w:proofErr w:type="spellStart"/>
      <w:r w:rsidRPr="00D93C48">
        <w:rPr>
          <w:rFonts w:ascii="Arial" w:hAnsi="Arial" w:cs="Arial"/>
          <w:b/>
          <w:sz w:val="28"/>
          <w:szCs w:val="28"/>
        </w:rPr>
        <w:t>Hybrid</w:t>
      </w:r>
      <w:proofErr w:type="spellEnd"/>
    </w:p>
    <w:p w14:paraId="57202905" w14:textId="0BBA3BE3" w:rsidR="00F51C59" w:rsidRPr="00D93C48" w:rsidRDefault="00923F8C" w:rsidP="00923F8C">
      <w:pPr>
        <w:spacing w:after="0" w:line="240" w:lineRule="auto"/>
        <w:rPr>
          <w:rFonts w:ascii="Arial" w:hAnsi="Arial" w:cs="Arial"/>
          <w:bCs/>
          <w:sz w:val="28"/>
          <w:szCs w:val="28"/>
        </w:rPr>
      </w:pPr>
      <w:r w:rsidRPr="00D93C48">
        <w:rPr>
          <w:rFonts w:ascii="Arial" w:hAnsi="Arial" w:cs="Arial"/>
          <w:bCs/>
          <w:sz w:val="28"/>
          <w:szCs w:val="28"/>
        </w:rPr>
        <w:t>Wilkhahn lance une nouvelle série de publications consacrées à la transformation du monde du travail de bureau</w:t>
      </w:r>
    </w:p>
    <w:p w14:paraId="2241D116" w14:textId="77777777" w:rsidR="00923F8C" w:rsidRPr="00D93C48" w:rsidRDefault="00923F8C" w:rsidP="00923F8C">
      <w:pPr>
        <w:spacing w:after="0" w:line="240" w:lineRule="auto"/>
        <w:rPr>
          <w:rFonts w:ascii="Arial" w:hAnsi="Arial" w:cs="Arial"/>
          <w:bCs/>
          <w:sz w:val="28"/>
          <w:szCs w:val="28"/>
        </w:rPr>
      </w:pPr>
    </w:p>
    <w:p w14:paraId="3F771E97" w14:textId="3AA6FF12" w:rsidR="00923F8C" w:rsidRPr="00D93C48" w:rsidRDefault="00923F8C" w:rsidP="00923F8C">
      <w:pPr>
        <w:spacing w:after="0" w:line="240" w:lineRule="auto"/>
        <w:rPr>
          <w:rFonts w:ascii="Arial" w:hAnsi="Arial" w:cs="Arial"/>
          <w:b/>
        </w:rPr>
      </w:pPr>
      <w:r w:rsidRPr="00D93C48">
        <w:rPr>
          <w:rFonts w:ascii="Arial" w:hAnsi="Arial" w:cs="Arial"/>
          <w:b/>
        </w:rPr>
        <w:t xml:space="preserve">« </w:t>
      </w:r>
      <w:proofErr w:type="spellStart"/>
      <w:r w:rsidRPr="00D93C48">
        <w:rPr>
          <w:rFonts w:ascii="Arial" w:hAnsi="Arial" w:cs="Arial"/>
          <w:b/>
        </w:rPr>
        <w:t>Corporate</w:t>
      </w:r>
      <w:proofErr w:type="spellEnd"/>
      <w:r w:rsidRPr="00D93C48">
        <w:rPr>
          <w:rFonts w:ascii="Arial" w:hAnsi="Arial" w:cs="Arial"/>
          <w:b/>
        </w:rPr>
        <w:t xml:space="preserve"> </w:t>
      </w:r>
      <w:proofErr w:type="spellStart"/>
      <w:r w:rsidRPr="00D93C48">
        <w:rPr>
          <w:rFonts w:ascii="Arial" w:hAnsi="Arial" w:cs="Arial"/>
          <w:b/>
        </w:rPr>
        <w:t>Hybrid</w:t>
      </w:r>
      <w:proofErr w:type="spellEnd"/>
      <w:r w:rsidRPr="00D93C48">
        <w:rPr>
          <w:rFonts w:ascii="Arial" w:hAnsi="Arial" w:cs="Arial"/>
          <w:b/>
        </w:rPr>
        <w:t xml:space="preserve"> » est le titre du premier numéro de la nouvelle série « Office on Stage » de Wilkhahn. Cette publication, pensée comme un « supplément » contemporain au volumineux « Manuel d´aménagement des espaces de conférence et de communication », décrit les principales mutations du monde du travail de bureau et explique ce qu’il en découle pour la planification et l'aménagement d'espaces de bureau tournés vers l'avenir. Dans un contexte de changements dynamiques et variés dans tous les secteurs, il constitue à la fois un guide de planification et un plaidoyer convaincant pour ancrer la collaboration souple dans les organisations et les entreprises en tant que nouvelle norme d'entreprise.  </w:t>
      </w:r>
    </w:p>
    <w:p w14:paraId="1724CDAE" w14:textId="77777777" w:rsidR="00923F8C" w:rsidRPr="00D93C48" w:rsidRDefault="00923F8C" w:rsidP="00923F8C">
      <w:pPr>
        <w:spacing w:after="0" w:line="240" w:lineRule="auto"/>
        <w:rPr>
          <w:rFonts w:ascii="Arial" w:hAnsi="Arial" w:cs="Arial"/>
          <w:b/>
        </w:rPr>
      </w:pPr>
    </w:p>
    <w:p w14:paraId="3AB9D730" w14:textId="5451946E" w:rsidR="005864A6" w:rsidRPr="00D93C48" w:rsidRDefault="00271081" w:rsidP="00923F8C">
      <w:pPr>
        <w:spacing w:after="0" w:line="240" w:lineRule="auto"/>
        <w:rPr>
          <w:rFonts w:ascii="Arial" w:hAnsi="Arial" w:cs="Arial"/>
        </w:rPr>
      </w:pPr>
      <w:r w:rsidRPr="00D93C48">
        <w:rPr>
          <w:rFonts w:ascii="Arial" w:hAnsi="Arial" w:cs="Arial"/>
          <w:b/>
        </w:rPr>
        <w:t xml:space="preserve">Bad </w:t>
      </w:r>
      <w:proofErr w:type="spellStart"/>
      <w:r w:rsidRPr="00D93C48">
        <w:rPr>
          <w:rFonts w:ascii="Arial" w:hAnsi="Arial" w:cs="Arial"/>
          <w:b/>
        </w:rPr>
        <w:t>Münder</w:t>
      </w:r>
      <w:proofErr w:type="spellEnd"/>
      <w:r w:rsidRPr="00D93C48">
        <w:rPr>
          <w:rFonts w:ascii="Arial" w:hAnsi="Arial" w:cs="Arial"/>
          <w:b/>
        </w:rPr>
        <w:t xml:space="preserve">, </w:t>
      </w:r>
      <w:r w:rsidR="00923F8C" w:rsidRPr="00D93C48">
        <w:rPr>
          <w:rFonts w:ascii="Arial" w:hAnsi="Arial" w:cs="Arial"/>
          <w:b/>
        </w:rPr>
        <w:t>juin</w:t>
      </w:r>
      <w:r w:rsidRPr="00D93C48">
        <w:rPr>
          <w:rFonts w:ascii="Arial" w:hAnsi="Arial" w:cs="Arial"/>
          <w:b/>
        </w:rPr>
        <w:t xml:space="preserve"> 2025. </w:t>
      </w:r>
      <w:r w:rsidR="00923F8C" w:rsidRPr="00D93C48">
        <w:rPr>
          <w:rFonts w:ascii="Arial" w:hAnsi="Arial" w:cs="Arial"/>
        </w:rPr>
        <w:t xml:space="preserve">Il ne peut y avoir de véritables innovations sans étude du contexte, ni compréhension de leur valeur ajoutée sans communication du contexte. C'est la raison pour laquelle le fabricant de mobilier de bureau Wilkhahn a décidé de lancer une nouvelle série thématique sous le nom « Office on Stage », qui met notamment en lumière les coulisses des développements de produits de l'entreprise. Le premier numéro, intitulé « </w:t>
      </w:r>
      <w:proofErr w:type="spellStart"/>
      <w:r w:rsidR="00923F8C" w:rsidRPr="00D93C48">
        <w:rPr>
          <w:rFonts w:ascii="Arial" w:hAnsi="Arial" w:cs="Arial"/>
        </w:rPr>
        <w:t>Corporate</w:t>
      </w:r>
      <w:proofErr w:type="spellEnd"/>
      <w:r w:rsidR="00923F8C" w:rsidRPr="00D93C48">
        <w:rPr>
          <w:rFonts w:ascii="Arial" w:hAnsi="Arial" w:cs="Arial"/>
        </w:rPr>
        <w:t xml:space="preserve"> </w:t>
      </w:r>
      <w:proofErr w:type="spellStart"/>
      <w:r w:rsidR="00923F8C" w:rsidRPr="00D93C48">
        <w:rPr>
          <w:rFonts w:ascii="Arial" w:hAnsi="Arial" w:cs="Arial"/>
        </w:rPr>
        <w:t>Hybrid</w:t>
      </w:r>
      <w:proofErr w:type="spellEnd"/>
      <w:r w:rsidR="00923F8C" w:rsidRPr="00D93C48">
        <w:rPr>
          <w:rFonts w:ascii="Arial" w:hAnsi="Arial" w:cs="Arial"/>
        </w:rPr>
        <w:t xml:space="preserve"> », est consacré aux besoins, aux conditions et aux possibilités des formes agiles de collaboration. Il explore la capacité à exploiter le potentiel des collaborateurs pour une conception active orientée vers l’avenir en s’appuyant sur une interaction coordonnée entre les besoins humains, les exigences organisationnelles, l'aménagement de l'espace et l'équipement technologique.</w:t>
      </w:r>
    </w:p>
    <w:p w14:paraId="2852AFB3" w14:textId="77777777" w:rsidR="00923F8C" w:rsidRPr="00D93C48" w:rsidRDefault="00923F8C" w:rsidP="00923F8C">
      <w:pPr>
        <w:spacing w:after="0" w:line="240" w:lineRule="auto"/>
        <w:rPr>
          <w:rFonts w:ascii="Arial" w:hAnsi="Arial" w:cs="Arial"/>
        </w:rPr>
      </w:pPr>
    </w:p>
    <w:p w14:paraId="48E5EA30" w14:textId="77777777" w:rsidR="00923F8C" w:rsidRPr="00D93C48" w:rsidRDefault="00923F8C" w:rsidP="00923F8C">
      <w:pPr>
        <w:spacing w:after="0" w:line="240" w:lineRule="auto"/>
        <w:rPr>
          <w:rFonts w:ascii="Arial" w:hAnsi="Arial" w:cs="Arial"/>
          <w:b/>
          <w:bCs/>
        </w:rPr>
      </w:pPr>
      <w:r w:rsidRPr="00D93C48">
        <w:rPr>
          <w:rFonts w:ascii="Arial" w:hAnsi="Arial" w:cs="Arial"/>
          <w:b/>
          <w:bCs/>
        </w:rPr>
        <w:t>Le défi : maîtriser l’imprévisible</w:t>
      </w:r>
    </w:p>
    <w:p w14:paraId="37561DFD" w14:textId="77777777" w:rsidR="00923F8C" w:rsidRPr="00D93C48" w:rsidRDefault="00923F8C" w:rsidP="00923F8C">
      <w:pPr>
        <w:spacing w:after="0" w:line="240" w:lineRule="auto"/>
        <w:rPr>
          <w:rFonts w:ascii="Arial" w:hAnsi="Arial" w:cs="Arial"/>
        </w:rPr>
      </w:pPr>
      <w:r w:rsidRPr="00D93C48">
        <w:rPr>
          <w:rFonts w:ascii="Arial" w:hAnsi="Arial" w:cs="Arial"/>
        </w:rPr>
        <w:t xml:space="preserve">Comment maîtriser la dynamique du changement, la complexité croissante et la tendance à l'imprévisibilité de l'avenir ? Il est plus important que jamais de définir clairement les objectifs et les visions et de décider des voies à suivre étape par étape pour pouvoir procéder rapidement aux ajustements et réorientations éventuellement nécessaires, sans perdre de vue l'ensemble. Interdisciplinarité, transparence et participation active à tous les niveaux sont les clés d'une collaboration agile qui envisage le développement de solutions comme une tâche collective afin de faire face à la complexité de la réalité. </w:t>
      </w:r>
    </w:p>
    <w:p w14:paraId="15A9AE41" w14:textId="77777777" w:rsidR="00923F8C" w:rsidRPr="00D93C48" w:rsidRDefault="00923F8C" w:rsidP="00923F8C">
      <w:pPr>
        <w:spacing w:after="0" w:line="240" w:lineRule="auto"/>
        <w:rPr>
          <w:rFonts w:ascii="Arial" w:hAnsi="Arial" w:cs="Arial"/>
        </w:rPr>
      </w:pPr>
    </w:p>
    <w:p w14:paraId="7DC9319F" w14:textId="77777777" w:rsidR="00923F8C" w:rsidRPr="00D93C48" w:rsidRDefault="00923F8C" w:rsidP="00923F8C">
      <w:pPr>
        <w:spacing w:after="0" w:line="240" w:lineRule="auto"/>
        <w:rPr>
          <w:rFonts w:ascii="Arial" w:hAnsi="Arial" w:cs="Arial"/>
          <w:b/>
          <w:bCs/>
        </w:rPr>
      </w:pPr>
      <w:r w:rsidRPr="00D93C48">
        <w:rPr>
          <w:rFonts w:ascii="Arial" w:hAnsi="Arial" w:cs="Arial"/>
          <w:b/>
          <w:bCs/>
        </w:rPr>
        <w:t>Le bureau comme scène de la collaboration souple et hybride</w:t>
      </w:r>
    </w:p>
    <w:p w14:paraId="2A81A23D" w14:textId="77777777" w:rsidR="00923F8C" w:rsidRPr="00D93C48" w:rsidRDefault="00923F8C" w:rsidP="00923F8C">
      <w:pPr>
        <w:spacing w:after="0" w:line="240" w:lineRule="auto"/>
        <w:rPr>
          <w:rFonts w:ascii="Arial" w:hAnsi="Arial" w:cs="Arial"/>
        </w:rPr>
      </w:pPr>
      <w:r w:rsidRPr="00D93C48">
        <w:rPr>
          <w:rFonts w:ascii="Arial" w:hAnsi="Arial" w:cs="Arial"/>
        </w:rPr>
        <w:t>Le magazine thématique de 120 pages déroule la métaphore de la scène en cinq actes. Les éléments d'aménagement sont décrits comme des co-acteurs qui invitent à l'interaction avec les utilisateurs. L'une des idées maîtresses de Wilkhahn est le principe du « Carpe Momentum ». Il s'agit de concevoir des « décors » pour des espaces de communication qui, en cas de besoin, peuvent être immédiatement transformés en espaces compatibles avec des formes de collaboration agile.</w:t>
      </w:r>
    </w:p>
    <w:p w14:paraId="5FFAB70B" w14:textId="77777777" w:rsidR="00923F8C" w:rsidRPr="00D93C48" w:rsidRDefault="00923F8C" w:rsidP="00923F8C">
      <w:pPr>
        <w:spacing w:after="0" w:line="240" w:lineRule="auto"/>
        <w:rPr>
          <w:rFonts w:ascii="Arial" w:hAnsi="Arial" w:cs="Arial"/>
        </w:rPr>
      </w:pPr>
    </w:p>
    <w:p w14:paraId="6E70D098" w14:textId="77777777" w:rsidR="00923F8C" w:rsidRPr="00D93C48" w:rsidRDefault="00923F8C" w:rsidP="00923F8C">
      <w:pPr>
        <w:spacing w:after="0" w:line="240" w:lineRule="auto"/>
        <w:rPr>
          <w:rFonts w:ascii="Arial" w:hAnsi="Arial" w:cs="Arial"/>
        </w:rPr>
      </w:pPr>
      <w:r w:rsidRPr="00D93C48">
        <w:rPr>
          <w:rFonts w:ascii="Arial" w:hAnsi="Arial" w:cs="Arial"/>
        </w:rPr>
        <w:t>Dans chacun des actes, les paramètres conceptuels de planification sont déclinés et illustrés : des espaces d'innovation et d'atelier aux couloirs et zones centrales, en passant par les salles de réunion et de conférence, les espaces de séminaire et de formation, le restaurant d'entreprise et l’espace salon. De courtes introductions, des textes approfondis, des principes et des méthodes ainsi que des aperçus des principaux changements offrent une structure cohérente et claire. Des exemples de planification variés, évolutifs et illustrés de manière divertissante stimulent l’imagination et l’inspiration.</w:t>
      </w:r>
    </w:p>
    <w:p w14:paraId="76707FEA" w14:textId="77777777" w:rsidR="00923F8C" w:rsidRPr="00D93C48" w:rsidRDefault="00923F8C" w:rsidP="00923F8C">
      <w:pPr>
        <w:spacing w:after="0" w:line="240" w:lineRule="auto"/>
        <w:rPr>
          <w:rFonts w:ascii="Arial" w:hAnsi="Arial" w:cs="Arial"/>
        </w:rPr>
      </w:pPr>
    </w:p>
    <w:p w14:paraId="276851F3" w14:textId="78FF5518" w:rsidR="00923F8C" w:rsidRPr="00D93C48" w:rsidRDefault="00923F8C" w:rsidP="00923F8C">
      <w:pPr>
        <w:spacing w:after="0" w:line="240" w:lineRule="auto"/>
        <w:rPr>
          <w:rFonts w:ascii="Arial" w:hAnsi="Arial" w:cs="Arial"/>
          <w:b/>
          <w:bCs/>
        </w:rPr>
      </w:pPr>
      <w:r w:rsidRPr="00D93C48">
        <w:rPr>
          <w:rFonts w:ascii="Arial" w:hAnsi="Arial" w:cs="Arial"/>
          <w:b/>
          <w:bCs/>
        </w:rPr>
        <w:lastRenderedPageBreak/>
        <w:t xml:space="preserve">Au centre : l’ensemble </w:t>
      </w:r>
      <w:proofErr w:type="spellStart"/>
      <w:r w:rsidRPr="00D93C48">
        <w:rPr>
          <w:rFonts w:ascii="Arial" w:hAnsi="Arial" w:cs="Arial"/>
          <w:b/>
          <w:bCs/>
        </w:rPr>
        <w:t>Confair</w:t>
      </w:r>
      <w:proofErr w:type="spellEnd"/>
      <w:r w:rsidRPr="00D93C48">
        <w:rPr>
          <w:rFonts w:ascii="Arial" w:hAnsi="Arial" w:cs="Arial"/>
          <w:b/>
          <w:bCs/>
        </w:rPr>
        <w:t xml:space="preserve"> Next</w:t>
      </w:r>
    </w:p>
    <w:p w14:paraId="681CABDF" w14:textId="77777777" w:rsidR="00923F8C" w:rsidRPr="00D93C48" w:rsidRDefault="00923F8C" w:rsidP="00923F8C">
      <w:pPr>
        <w:spacing w:after="0" w:line="240" w:lineRule="auto"/>
        <w:rPr>
          <w:rFonts w:ascii="Arial" w:hAnsi="Arial" w:cs="Arial"/>
        </w:rPr>
      </w:pPr>
      <w:r w:rsidRPr="00D93C48">
        <w:rPr>
          <w:rFonts w:ascii="Arial" w:hAnsi="Arial" w:cs="Arial"/>
        </w:rPr>
        <w:t xml:space="preserve">Les décors dévoilent clairement les résultats qu’il est possible d’atteindre avec des « co-acteurs » bien conçus. Mobiles, </w:t>
      </w:r>
      <w:proofErr w:type="spellStart"/>
      <w:r w:rsidRPr="00D93C48">
        <w:rPr>
          <w:rFonts w:ascii="Arial" w:hAnsi="Arial" w:cs="Arial"/>
        </w:rPr>
        <w:t>auto-organisés</w:t>
      </w:r>
      <w:proofErr w:type="spellEnd"/>
      <w:r w:rsidRPr="00D93C48">
        <w:rPr>
          <w:rFonts w:ascii="Arial" w:hAnsi="Arial" w:cs="Arial"/>
        </w:rPr>
        <w:t xml:space="preserve"> et orientés vers la participation, les tableaux blancs et les tableaux acoustiques deviennent des co-acteurs qui délimitent et décloisonnent les espaces et servent en outre d'outils de visualisation. La nécessité de combiner outils analogiques et outils numériques est expliquée et intégrée dans le contexte, tout comme l'effet stimulant des tabourets, tables et dessertes mobiles qui changent de fonction selon les besoins. – Enfin, les lecteurs découvrent aussi comment la cohérence de la conception et les possibilités d'aménagement transforment les nombreux éléments individuels de la nouvelle gamme </w:t>
      </w:r>
      <w:proofErr w:type="spellStart"/>
      <w:r w:rsidRPr="00D93C48">
        <w:rPr>
          <w:rFonts w:ascii="Arial" w:hAnsi="Arial" w:cs="Arial"/>
        </w:rPr>
        <w:t>Confair</w:t>
      </w:r>
      <w:proofErr w:type="spellEnd"/>
      <w:r w:rsidRPr="00D93C48">
        <w:rPr>
          <w:rFonts w:ascii="Arial" w:hAnsi="Arial" w:cs="Arial"/>
        </w:rPr>
        <w:t xml:space="preserve"> Next en un véritable ensemble au sens d'un aménagement. </w:t>
      </w:r>
    </w:p>
    <w:p w14:paraId="673F7A5E" w14:textId="77777777" w:rsidR="00923F8C" w:rsidRPr="00D93C48" w:rsidRDefault="00923F8C" w:rsidP="00923F8C">
      <w:pPr>
        <w:spacing w:after="0" w:line="240" w:lineRule="auto"/>
        <w:rPr>
          <w:rFonts w:ascii="Arial" w:hAnsi="Arial" w:cs="Arial"/>
        </w:rPr>
      </w:pPr>
    </w:p>
    <w:p w14:paraId="2EFA66A0" w14:textId="77777777" w:rsidR="00923F8C" w:rsidRPr="00D93C48" w:rsidRDefault="00923F8C" w:rsidP="00923F8C">
      <w:pPr>
        <w:spacing w:after="0" w:line="240" w:lineRule="auto"/>
        <w:rPr>
          <w:rFonts w:ascii="Arial" w:hAnsi="Arial" w:cs="Arial"/>
          <w:b/>
          <w:bCs/>
        </w:rPr>
      </w:pPr>
      <w:r w:rsidRPr="00D93C48">
        <w:rPr>
          <w:rFonts w:ascii="Arial" w:hAnsi="Arial" w:cs="Arial"/>
          <w:b/>
          <w:bCs/>
        </w:rPr>
        <w:t>Des interludes divertissants pour une transmission ludique</w:t>
      </w:r>
    </w:p>
    <w:p w14:paraId="573FCF15" w14:textId="4B204FBA" w:rsidR="00923F8C" w:rsidRPr="00D93C48" w:rsidRDefault="00923F8C" w:rsidP="00923F8C">
      <w:pPr>
        <w:spacing w:after="0" w:line="240" w:lineRule="auto"/>
        <w:rPr>
          <w:rFonts w:ascii="Arial" w:hAnsi="Arial" w:cs="Arial"/>
        </w:rPr>
      </w:pPr>
      <w:r w:rsidRPr="00D93C48">
        <w:rPr>
          <w:rFonts w:ascii="Arial" w:hAnsi="Arial" w:cs="Arial"/>
        </w:rPr>
        <w:t>La narration du programme scénique offre une introduction aux thèmes à la fois instructive et ludique, un mélange hybride de profondeur de contenu et de divertissement. L'</w:t>
      </w:r>
      <w:proofErr w:type="spellStart"/>
      <w:r w:rsidRPr="00D93C48">
        <w:rPr>
          <w:rFonts w:ascii="Arial" w:hAnsi="Arial" w:cs="Arial"/>
        </w:rPr>
        <w:t>edutainment</w:t>
      </w:r>
      <w:proofErr w:type="spellEnd"/>
      <w:r w:rsidRPr="00D93C48">
        <w:rPr>
          <w:rFonts w:ascii="Arial" w:hAnsi="Arial" w:cs="Arial"/>
        </w:rPr>
        <w:t xml:space="preserve"> moderne comprend également de petites « digressions » entre les actes. Outre le rapport de référence sur la « Co-Innovation </w:t>
      </w:r>
      <w:proofErr w:type="spellStart"/>
      <w:r w:rsidRPr="00D93C48">
        <w:rPr>
          <w:rFonts w:ascii="Arial" w:hAnsi="Arial" w:cs="Arial"/>
        </w:rPr>
        <w:t>Factory</w:t>
      </w:r>
      <w:proofErr w:type="spellEnd"/>
      <w:r w:rsidRPr="00D93C48">
        <w:rPr>
          <w:rFonts w:ascii="Arial" w:hAnsi="Arial" w:cs="Arial"/>
        </w:rPr>
        <w:t xml:space="preserve"> » de Vienne et les perspectives de Birgit Gebhardt, experte en tendances de renom, on trouve des « portraits » amusants qui racontent l’histoire de produits célèbres de la collaboration agile qui ont marqué le secteur dans le monde entier au cours des trente dernières années. Enfin, les « acteurs » se présentent eux-mêmes à la fin, comme dans un programme de théâtre. </w:t>
      </w:r>
    </w:p>
    <w:p w14:paraId="6A8BD3FB" w14:textId="77777777" w:rsidR="00923F8C" w:rsidRPr="00D93C48" w:rsidRDefault="00923F8C" w:rsidP="00923F8C">
      <w:pPr>
        <w:spacing w:after="0" w:line="240" w:lineRule="auto"/>
        <w:rPr>
          <w:rFonts w:ascii="Arial" w:hAnsi="Arial" w:cs="Arial"/>
        </w:rPr>
      </w:pPr>
    </w:p>
    <w:p w14:paraId="45F832FE" w14:textId="77777777" w:rsidR="00923F8C" w:rsidRPr="00D93C48" w:rsidRDefault="00923F8C" w:rsidP="00923F8C">
      <w:pPr>
        <w:spacing w:after="0" w:line="240" w:lineRule="auto"/>
        <w:rPr>
          <w:rFonts w:ascii="Arial" w:hAnsi="Arial" w:cs="Arial"/>
          <w:b/>
          <w:bCs/>
        </w:rPr>
      </w:pPr>
      <w:r w:rsidRPr="00D93C48">
        <w:rPr>
          <w:rFonts w:ascii="Arial" w:hAnsi="Arial" w:cs="Arial"/>
          <w:b/>
          <w:bCs/>
        </w:rPr>
        <w:t>Partager le savoir</w:t>
      </w:r>
    </w:p>
    <w:p w14:paraId="5DC9165C" w14:textId="77777777" w:rsidR="00923F8C" w:rsidRPr="00D93C48" w:rsidRDefault="00923F8C" w:rsidP="00923F8C">
      <w:pPr>
        <w:spacing w:after="0" w:line="240" w:lineRule="auto"/>
        <w:rPr>
          <w:rFonts w:ascii="Arial" w:hAnsi="Arial" w:cs="Arial"/>
        </w:rPr>
      </w:pPr>
      <w:r w:rsidRPr="00D93C48">
        <w:rPr>
          <w:rFonts w:ascii="Arial" w:hAnsi="Arial" w:cs="Arial"/>
        </w:rPr>
        <w:t xml:space="preserve">En publiant ce magazine thématique, Wilkhahn poursuit sa tradition de partage de l'immense savoir qui constitue la base de son propre développement de produits : en 1998, le « Manuel d'aménagement des espaces de communication » illustrait les relations entre les individus, l'organisation, la technologie et l'espace. Dix ans plus tard, la célèbre maison d'édition </w:t>
      </w:r>
      <w:proofErr w:type="spellStart"/>
      <w:r w:rsidRPr="00D93C48">
        <w:rPr>
          <w:rFonts w:ascii="Arial" w:hAnsi="Arial" w:cs="Arial"/>
        </w:rPr>
        <w:t>Birkhäuser</w:t>
      </w:r>
      <w:proofErr w:type="spellEnd"/>
      <w:r w:rsidRPr="00D93C48">
        <w:rPr>
          <w:rFonts w:ascii="Arial" w:hAnsi="Arial" w:cs="Arial"/>
        </w:rPr>
        <w:t xml:space="preserve"> publiait en quatre langues le volumineux « Manuel de planification d´aménagement </w:t>
      </w:r>
      <w:proofErr w:type="gramStart"/>
      <w:r w:rsidRPr="00D93C48">
        <w:rPr>
          <w:rFonts w:ascii="Arial" w:hAnsi="Arial" w:cs="Arial"/>
        </w:rPr>
        <w:t>des espace</w:t>
      </w:r>
      <w:proofErr w:type="gramEnd"/>
      <w:r w:rsidRPr="00D93C48">
        <w:rPr>
          <w:rFonts w:ascii="Arial" w:hAnsi="Arial" w:cs="Arial"/>
        </w:rPr>
        <w:t xml:space="preserve"> des salles de conférence et des espaces de communication », qui constitue encore aujourd'hui un ouvrage de référence. Comme en témoignent également les publications, il est cependant difficile de comprendre les véritables innovations et leur valeur ajoutée sans connaissance du contexte. On découvre ainsi dans « </w:t>
      </w:r>
      <w:proofErr w:type="spellStart"/>
      <w:r w:rsidRPr="00D93C48">
        <w:rPr>
          <w:rFonts w:ascii="Arial" w:hAnsi="Arial" w:cs="Arial"/>
        </w:rPr>
        <w:t>Corporate</w:t>
      </w:r>
      <w:proofErr w:type="spellEnd"/>
      <w:r w:rsidRPr="00D93C48">
        <w:rPr>
          <w:rFonts w:ascii="Arial" w:hAnsi="Arial" w:cs="Arial"/>
        </w:rPr>
        <w:t xml:space="preserve"> </w:t>
      </w:r>
      <w:proofErr w:type="spellStart"/>
      <w:r w:rsidRPr="00D93C48">
        <w:rPr>
          <w:rFonts w:ascii="Arial" w:hAnsi="Arial" w:cs="Arial"/>
        </w:rPr>
        <w:t>Hybrid</w:t>
      </w:r>
      <w:proofErr w:type="spellEnd"/>
      <w:r w:rsidRPr="00D93C48">
        <w:rPr>
          <w:rFonts w:ascii="Arial" w:hAnsi="Arial" w:cs="Arial"/>
        </w:rPr>
        <w:t xml:space="preserve"> » l’immense potentiel de la nouvelle gamme </w:t>
      </w:r>
      <w:proofErr w:type="spellStart"/>
      <w:r w:rsidRPr="00D93C48">
        <w:rPr>
          <w:rFonts w:ascii="Arial" w:hAnsi="Arial" w:cs="Arial"/>
        </w:rPr>
        <w:t>Wilkhahn</w:t>
      </w:r>
      <w:proofErr w:type="spellEnd"/>
      <w:r w:rsidRPr="00D93C48">
        <w:rPr>
          <w:rFonts w:ascii="Arial" w:hAnsi="Arial" w:cs="Arial"/>
        </w:rPr>
        <w:t xml:space="preserve"> </w:t>
      </w:r>
      <w:proofErr w:type="spellStart"/>
      <w:r w:rsidRPr="00D93C48">
        <w:rPr>
          <w:rFonts w:ascii="Arial" w:hAnsi="Arial" w:cs="Arial"/>
        </w:rPr>
        <w:t>Confair</w:t>
      </w:r>
      <w:proofErr w:type="spellEnd"/>
      <w:r w:rsidRPr="00D93C48">
        <w:rPr>
          <w:rFonts w:ascii="Arial" w:hAnsi="Arial" w:cs="Arial"/>
        </w:rPr>
        <w:t xml:space="preserve"> Next, et ce, de manière ludique, divertissante, instructive et avec de nombreux clins d'œil amusants.  </w:t>
      </w:r>
    </w:p>
    <w:p w14:paraId="4CFDD6ED" w14:textId="77777777" w:rsidR="00923F8C" w:rsidRPr="00D93C48" w:rsidRDefault="00923F8C" w:rsidP="00923F8C">
      <w:pPr>
        <w:spacing w:after="0" w:line="240" w:lineRule="auto"/>
        <w:rPr>
          <w:rFonts w:ascii="Arial" w:hAnsi="Arial" w:cs="Arial"/>
        </w:rPr>
      </w:pPr>
    </w:p>
    <w:p w14:paraId="2BDECEC0" w14:textId="28D2F5E0" w:rsidR="00923F8C" w:rsidRPr="00D93C48" w:rsidRDefault="00923F8C" w:rsidP="00923F8C">
      <w:pPr>
        <w:spacing w:after="0" w:line="240" w:lineRule="auto"/>
        <w:rPr>
          <w:rFonts w:ascii="Arial" w:hAnsi="Arial" w:cs="Arial"/>
          <w:b/>
          <w:bCs/>
        </w:rPr>
      </w:pPr>
      <w:r w:rsidRPr="00D93C48">
        <w:rPr>
          <w:rFonts w:ascii="Arial" w:hAnsi="Arial" w:cs="Arial"/>
          <w:b/>
          <w:bCs/>
        </w:rPr>
        <w:t xml:space="preserve">Le magazine thématique en anglais peut être consulté ou téléchargé sur : </w:t>
      </w:r>
      <w:hyperlink r:id="rId6" w:history="1">
        <w:r w:rsidR="00452936">
          <w:rPr>
            <w:rStyle w:val="Hyperlink"/>
            <w:rFonts w:ascii="Arial" w:hAnsi="Arial" w:cs="Arial"/>
            <w:b/>
            <w:bCs/>
          </w:rPr>
          <w:t>http://www.wilkhahn.com/fr/office-on-stage/</w:t>
        </w:r>
      </w:hyperlink>
    </w:p>
    <w:p w14:paraId="48E4D366" w14:textId="77777777" w:rsidR="00923F8C" w:rsidRPr="00D93C48" w:rsidRDefault="00923F8C" w:rsidP="00923F8C">
      <w:pPr>
        <w:spacing w:after="0" w:line="240" w:lineRule="auto"/>
        <w:rPr>
          <w:rFonts w:ascii="Arial" w:hAnsi="Arial" w:cs="Arial"/>
          <w:b/>
          <w:bCs/>
        </w:rPr>
      </w:pPr>
    </w:p>
    <w:p w14:paraId="0B5ABDE5" w14:textId="77777777" w:rsidR="00923F8C" w:rsidRPr="00D93C48" w:rsidRDefault="00923F8C">
      <w:pPr>
        <w:rPr>
          <w:rFonts w:ascii="Arial" w:hAnsi="Arial" w:cs="Arial"/>
          <w:b/>
          <w:bCs/>
        </w:rPr>
      </w:pPr>
      <w:r w:rsidRPr="00D93C48">
        <w:rPr>
          <w:rFonts w:ascii="Arial" w:hAnsi="Arial" w:cs="Arial"/>
          <w:b/>
          <w:bCs/>
        </w:rPr>
        <w:br w:type="page"/>
      </w:r>
    </w:p>
    <w:p w14:paraId="34BE6D25" w14:textId="728C4C5F" w:rsidR="003D5442" w:rsidRPr="00D93C48" w:rsidRDefault="0092379E" w:rsidP="00923F8C">
      <w:pPr>
        <w:spacing w:after="0" w:line="240" w:lineRule="auto"/>
        <w:rPr>
          <w:rFonts w:ascii="Arial" w:hAnsi="Arial" w:cs="Arial"/>
          <w:b/>
          <w:bCs/>
        </w:rPr>
      </w:pPr>
      <w:r w:rsidRPr="00D93C48">
        <w:rPr>
          <w:rFonts w:ascii="Arial" w:hAnsi="Arial" w:cs="Arial"/>
          <w:b/>
          <w:bCs/>
        </w:rPr>
        <w:lastRenderedPageBreak/>
        <w:t>Images</w:t>
      </w:r>
    </w:p>
    <w:p w14:paraId="3198AE5B" w14:textId="515162BE" w:rsidR="00D36257" w:rsidRPr="00D93C48" w:rsidRDefault="00D36257" w:rsidP="00D36257">
      <w:pPr>
        <w:spacing w:after="0" w:line="240" w:lineRule="auto"/>
        <w:rPr>
          <w:rFonts w:ascii="Arial" w:hAnsi="Arial" w:cs="Arial"/>
          <w:sz w:val="20"/>
          <w:szCs w:val="20"/>
        </w:rPr>
      </w:pPr>
      <w:r w:rsidRPr="00D93C48">
        <w:rPr>
          <w:rFonts w:ascii="Arial" w:hAnsi="Arial" w:cs="Arial"/>
          <w:noProof/>
        </w:rPr>
        <w:drawing>
          <wp:anchor distT="0" distB="0" distL="114300" distR="114300" simplePos="0" relativeHeight="251659264" behindDoc="0" locked="0" layoutInCell="1" allowOverlap="1" wp14:anchorId="403934DD" wp14:editId="3D1145A3">
            <wp:simplePos x="0" y="0"/>
            <wp:positionH relativeFrom="column">
              <wp:posOffset>-5080</wp:posOffset>
            </wp:positionH>
            <wp:positionV relativeFrom="paragraph">
              <wp:posOffset>155372</wp:posOffset>
            </wp:positionV>
            <wp:extent cx="4495165" cy="3180715"/>
            <wp:effectExtent l="0" t="0" r="635" b="0"/>
            <wp:wrapThrough wrapText="bothSides">
              <wp:wrapPolygon edited="0">
                <wp:start x="0" y="0"/>
                <wp:lineTo x="0" y="21475"/>
                <wp:lineTo x="21542" y="21475"/>
                <wp:lineTo x="21542" y="0"/>
                <wp:lineTo x="0" y="0"/>
              </wp:wrapPolygon>
            </wp:wrapThrough>
            <wp:docPr id="1341006590" name="Grafik 1" descr="Ein Bild, das Screenshot,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006590" name="Grafik 1" descr="Ein Bild, das Screenshot, Haus enthält.&#10;&#10;KI-generierte Inhalte können fehlerhaft sein."/>
                    <pic:cNvPicPr/>
                  </pic:nvPicPr>
                  <pic:blipFill>
                    <a:blip r:embed="rId7" cstate="print">
                      <a:extLst>
                        <a:ext uri="{28A0092B-C50C-407E-A947-70E740481C1C}">
                          <a14:useLocalDpi xmlns:a14="http://schemas.microsoft.com/office/drawing/2010/main" val="0"/>
                        </a:ext>
                      </a:extLst>
                    </a:blip>
                    <a:stretch>
                      <a:fillRect/>
                    </a:stretch>
                  </pic:blipFill>
                  <pic:spPr>
                    <a:xfrm>
                      <a:off x="0" y="0"/>
                      <a:ext cx="4495165" cy="3180715"/>
                    </a:xfrm>
                    <a:prstGeom prst="rect">
                      <a:avLst/>
                    </a:prstGeom>
                  </pic:spPr>
                </pic:pic>
              </a:graphicData>
            </a:graphic>
            <wp14:sizeRelH relativeFrom="page">
              <wp14:pctWidth>0</wp14:pctWidth>
            </wp14:sizeRelH>
            <wp14:sizeRelV relativeFrom="page">
              <wp14:pctHeight>0</wp14:pctHeight>
            </wp14:sizeRelV>
          </wp:anchor>
        </w:drawing>
      </w:r>
      <w:r w:rsidR="00F54E6E" w:rsidRPr="00D93C48">
        <w:rPr>
          <w:rFonts w:ascii="Arial" w:hAnsi="Arial" w:cs="Arial"/>
          <w:sz w:val="20"/>
          <w:szCs w:val="20"/>
        </w:rPr>
        <w:t xml:space="preserve"> </w:t>
      </w:r>
    </w:p>
    <w:p w14:paraId="3E7B7A32" w14:textId="6A690463" w:rsidR="00D36257" w:rsidRPr="00D93C48" w:rsidRDefault="00D36257" w:rsidP="00D36257">
      <w:pPr>
        <w:ind w:right="1702"/>
        <w:rPr>
          <w:rFonts w:ascii="Arial" w:hAnsi="Arial" w:cs="Arial"/>
        </w:rPr>
      </w:pPr>
      <w:r w:rsidRPr="00D93C48">
        <w:rPr>
          <w:rFonts w:ascii="Arial" w:hAnsi="Arial" w:cs="Arial"/>
          <w:sz w:val="20"/>
          <w:szCs w:val="20"/>
        </w:rPr>
        <w:t>(</w:t>
      </w:r>
      <w:proofErr w:type="spellStart"/>
      <w:r w:rsidRPr="00D93C48">
        <w:rPr>
          <w:rFonts w:ascii="Arial" w:hAnsi="Arial" w:cs="Arial"/>
          <w:sz w:val="20"/>
          <w:szCs w:val="20"/>
        </w:rPr>
        <w:t>Workshoproom_Group</w:t>
      </w:r>
      <w:proofErr w:type="spellEnd"/>
      <w:r w:rsidRPr="00D93C48">
        <w:rPr>
          <w:rFonts w:ascii="Arial" w:hAnsi="Arial" w:cs="Arial"/>
          <w:sz w:val="20"/>
          <w:szCs w:val="20"/>
        </w:rPr>
        <w:t xml:space="preserve"> Work) L'interaction et le changement dynamique de méthode en ligne de mire : les salles d'atelier et d'innovation exigent la combinaison et l'intégration mobile de supports de travail analogiques et de supports de travail numériques. Illustration : Wilkhahn</w:t>
      </w:r>
    </w:p>
    <w:p w14:paraId="6C3AF345" w14:textId="0A2843E6" w:rsidR="00D36257" w:rsidRPr="00D93C48" w:rsidRDefault="00D36257" w:rsidP="00D93C48">
      <w:pPr>
        <w:ind w:right="1985"/>
        <w:rPr>
          <w:rFonts w:ascii="Arial" w:hAnsi="Arial" w:cs="Arial"/>
        </w:rPr>
      </w:pPr>
      <w:r w:rsidRPr="00D93C48">
        <w:rPr>
          <w:rFonts w:ascii="Arial" w:hAnsi="Arial" w:cs="Arial"/>
          <w:noProof/>
        </w:rPr>
        <w:drawing>
          <wp:anchor distT="0" distB="0" distL="114300" distR="114300" simplePos="0" relativeHeight="251660288" behindDoc="0" locked="0" layoutInCell="1" allowOverlap="1" wp14:anchorId="436697D7" wp14:editId="3EDCA3B8">
            <wp:simplePos x="0" y="0"/>
            <wp:positionH relativeFrom="column">
              <wp:posOffset>-5080</wp:posOffset>
            </wp:positionH>
            <wp:positionV relativeFrom="paragraph">
              <wp:posOffset>162992</wp:posOffset>
            </wp:positionV>
            <wp:extent cx="4495165" cy="3177540"/>
            <wp:effectExtent l="0" t="0" r="635" b="0"/>
            <wp:wrapThrough wrapText="bothSides">
              <wp:wrapPolygon edited="0">
                <wp:start x="0" y="0"/>
                <wp:lineTo x="0" y="21496"/>
                <wp:lineTo x="21542" y="21496"/>
                <wp:lineTo x="21542" y="0"/>
                <wp:lineTo x="0" y="0"/>
              </wp:wrapPolygon>
            </wp:wrapThrough>
            <wp:docPr id="354532365" name="Grafik 2" descr="Ein Bild, das Gebäude, Haus, Maßstabsmodell, Städteb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532365" name="Grafik 2" descr="Ein Bild, das Gebäude, Haus, Maßstabsmodell, Städtebau enthält.&#10;&#10;KI-generierte Inhalte können fehlerhaft sein."/>
                    <pic:cNvPicPr/>
                  </pic:nvPicPr>
                  <pic:blipFill>
                    <a:blip r:embed="rId8" cstate="print">
                      <a:extLst>
                        <a:ext uri="{28A0092B-C50C-407E-A947-70E740481C1C}">
                          <a14:useLocalDpi xmlns:a14="http://schemas.microsoft.com/office/drawing/2010/main" val="0"/>
                        </a:ext>
                      </a:extLst>
                    </a:blip>
                    <a:stretch>
                      <a:fillRect/>
                    </a:stretch>
                  </pic:blipFill>
                  <pic:spPr>
                    <a:xfrm>
                      <a:off x="0" y="0"/>
                      <a:ext cx="4495165" cy="3177540"/>
                    </a:xfrm>
                    <a:prstGeom prst="rect">
                      <a:avLst/>
                    </a:prstGeom>
                  </pic:spPr>
                </pic:pic>
              </a:graphicData>
            </a:graphic>
            <wp14:sizeRelH relativeFrom="page">
              <wp14:pctWidth>0</wp14:pctWidth>
            </wp14:sizeRelH>
            <wp14:sizeRelV relativeFrom="page">
              <wp14:pctHeight>0</wp14:pctHeight>
            </wp14:sizeRelV>
          </wp:anchor>
        </w:drawing>
      </w:r>
      <w:r w:rsidRPr="00D93C48">
        <w:rPr>
          <w:rFonts w:ascii="Arial" w:hAnsi="Arial" w:cs="Arial"/>
          <w:sz w:val="20"/>
          <w:szCs w:val="20"/>
        </w:rPr>
        <w:br/>
        <w:t xml:space="preserve">(Open </w:t>
      </w:r>
      <w:proofErr w:type="spellStart"/>
      <w:r w:rsidRPr="00D93C48">
        <w:rPr>
          <w:rFonts w:ascii="Arial" w:hAnsi="Arial" w:cs="Arial"/>
          <w:sz w:val="20"/>
          <w:szCs w:val="20"/>
        </w:rPr>
        <w:t>Space</w:t>
      </w:r>
      <w:proofErr w:type="spellEnd"/>
      <w:r w:rsidRPr="00D93C48">
        <w:rPr>
          <w:rFonts w:ascii="Arial" w:hAnsi="Arial" w:cs="Arial"/>
          <w:sz w:val="20"/>
          <w:szCs w:val="20"/>
        </w:rPr>
        <w:t xml:space="preserve">) Réaffectation temporaire : l'exemple montre comment les espaces d'accueil et d'attente ainsi que les zones de distribution peuvent être transformés en espaces pour des ateliers open </w:t>
      </w:r>
      <w:proofErr w:type="spellStart"/>
      <w:r w:rsidRPr="00D93C48">
        <w:rPr>
          <w:rFonts w:ascii="Arial" w:hAnsi="Arial" w:cs="Arial"/>
          <w:sz w:val="20"/>
          <w:szCs w:val="20"/>
        </w:rPr>
        <w:t>space</w:t>
      </w:r>
      <w:proofErr w:type="spellEnd"/>
      <w:r w:rsidRPr="00D93C48">
        <w:rPr>
          <w:rFonts w:ascii="Arial" w:hAnsi="Arial" w:cs="Arial"/>
          <w:sz w:val="20"/>
          <w:szCs w:val="20"/>
        </w:rPr>
        <w:t xml:space="preserve"> pouvant accueillir de nombreux participants grâce à des « outils de visualisation » mobiles mis à disposition. Illustration : Wilkhahn</w:t>
      </w:r>
      <w:r w:rsidRPr="00D93C48">
        <w:rPr>
          <w:rFonts w:ascii="Arial" w:hAnsi="Arial" w:cs="Arial"/>
          <w:sz w:val="20"/>
          <w:szCs w:val="20"/>
        </w:rPr>
        <w:br w:type="page"/>
      </w:r>
    </w:p>
    <w:p w14:paraId="2C939CD9" w14:textId="77777777" w:rsidR="00D36257" w:rsidRPr="00D93C48" w:rsidRDefault="00D36257" w:rsidP="00D36257">
      <w:pPr>
        <w:rPr>
          <w:rFonts w:ascii="Arial" w:hAnsi="Arial" w:cs="Arial"/>
          <w:sz w:val="20"/>
          <w:szCs w:val="20"/>
        </w:rPr>
      </w:pPr>
      <w:r w:rsidRPr="00D93C48">
        <w:rPr>
          <w:rFonts w:ascii="Arial" w:hAnsi="Arial" w:cs="Arial"/>
          <w:noProof/>
          <w:sz w:val="20"/>
          <w:szCs w:val="20"/>
        </w:rPr>
        <w:lastRenderedPageBreak/>
        <w:drawing>
          <wp:anchor distT="0" distB="0" distL="114300" distR="114300" simplePos="0" relativeHeight="251661312" behindDoc="0" locked="0" layoutInCell="1" allowOverlap="1" wp14:anchorId="7A2CB377" wp14:editId="1FEDE188">
            <wp:simplePos x="0" y="0"/>
            <wp:positionH relativeFrom="column">
              <wp:posOffset>-3810</wp:posOffset>
            </wp:positionH>
            <wp:positionV relativeFrom="paragraph">
              <wp:posOffset>0</wp:posOffset>
            </wp:positionV>
            <wp:extent cx="4680000" cy="3308400"/>
            <wp:effectExtent l="0" t="0" r="0" b="6350"/>
            <wp:wrapThrough wrapText="bothSides">
              <wp:wrapPolygon edited="0">
                <wp:start x="0" y="0"/>
                <wp:lineTo x="0" y="21559"/>
                <wp:lineTo x="21512" y="21559"/>
                <wp:lineTo x="21512" y="0"/>
                <wp:lineTo x="0" y="0"/>
              </wp:wrapPolygon>
            </wp:wrapThrough>
            <wp:docPr id="2033432083" name="Grafik 3" descr="Ein Bild, das Haus, Gebäude,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432083" name="Grafik 3" descr="Ein Bild, das Haus, Gebäude, Maßstabsmodell enthält.&#10;&#10;KI-generierte Inhalte können fehlerhaft sein."/>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80000" cy="3308400"/>
                    </a:xfrm>
                    <a:prstGeom prst="rect">
                      <a:avLst/>
                    </a:prstGeom>
                  </pic:spPr>
                </pic:pic>
              </a:graphicData>
            </a:graphic>
            <wp14:sizeRelH relativeFrom="page">
              <wp14:pctWidth>0</wp14:pctWidth>
            </wp14:sizeRelH>
            <wp14:sizeRelV relativeFrom="page">
              <wp14:pctHeight>0</wp14:pctHeight>
            </wp14:sizeRelV>
          </wp:anchor>
        </w:drawing>
      </w:r>
    </w:p>
    <w:p w14:paraId="10D5E621" w14:textId="45F7A2C7" w:rsidR="00D36257" w:rsidRPr="00D93C48" w:rsidRDefault="00FB1FCB" w:rsidP="00D36257">
      <w:pPr>
        <w:ind w:right="1702"/>
        <w:rPr>
          <w:rFonts w:ascii="Arial" w:hAnsi="Arial" w:cs="Arial"/>
          <w:sz w:val="20"/>
          <w:szCs w:val="20"/>
        </w:rPr>
      </w:pPr>
      <w:r w:rsidRPr="00D93C48">
        <w:rPr>
          <w:rFonts w:ascii="Arial" w:hAnsi="Arial" w:cs="Arial"/>
          <w:sz w:val="20"/>
          <w:szCs w:val="20"/>
        </w:rPr>
        <w:t xml:space="preserve">(Agile Command Center) Incarnation et exemplarité : collaboration agile dans la </w:t>
      </w:r>
      <w:proofErr w:type="spellStart"/>
      <w:r w:rsidRPr="00D93C48">
        <w:rPr>
          <w:rFonts w:ascii="Arial" w:hAnsi="Arial" w:cs="Arial"/>
          <w:sz w:val="20"/>
          <w:szCs w:val="20"/>
        </w:rPr>
        <w:t>la</w:t>
      </w:r>
      <w:proofErr w:type="spellEnd"/>
      <w:r w:rsidRPr="00D93C48">
        <w:rPr>
          <w:rFonts w:ascii="Arial" w:hAnsi="Arial" w:cs="Arial"/>
          <w:sz w:val="20"/>
          <w:szCs w:val="20"/>
        </w:rPr>
        <w:t xml:space="preserve"> salle du conseil d’administration avec des offres intégrées de manière flexible pour des réunions formelles, une collaboration interactive et des échanges informels. Illustration : Wilkhahn</w:t>
      </w:r>
    </w:p>
    <w:p w14:paraId="78EA4718" w14:textId="77777777" w:rsidR="00D36257" w:rsidRPr="00D93C48" w:rsidRDefault="00D36257" w:rsidP="00D36257">
      <w:pPr>
        <w:ind w:right="1702"/>
        <w:rPr>
          <w:rFonts w:ascii="Arial" w:hAnsi="Arial" w:cs="Arial"/>
          <w:sz w:val="20"/>
          <w:szCs w:val="20"/>
        </w:rPr>
      </w:pPr>
    </w:p>
    <w:p w14:paraId="4EB64C05" w14:textId="77777777" w:rsidR="00D36257" w:rsidRPr="00D93C48" w:rsidRDefault="00D36257" w:rsidP="00D36257">
      <w:pPr>
        <w:ind w:right="1702"/>
        <w:rPr>
          <w:rFonts w:ascii="Arial" w:hAnsi="Arial" w:cs="Arial"/>
          <w:sz w:val="20"/>
          <w:szCs w:val="20"/>
        </w:rPr>
      </w:pPr>
      <w:r w:rsidRPr="00D93C48">
        <w:rPr>
          <w:rFonts w:ascii="Arial" w:hAnsi="Arial" w:cs="Arial"/>
          <w:noProof/>
          <w:sz w:val="20"/>
          <w:szCs w:val="20"/>
        </w:rPr>
        <w:drawing>
          <wp:anchor distT="0" distB="0" distL="114300" distR="114300" simplePos="0" relativeHeight="251662336" behindDoc="0" locked="0" layoutInCell="1" allowOverlap="1" wp14:anchorId="03F1D748" wp14:editId="71074485">
            <wp:simplePos x="0" y="0"/>
            <wp:positionH relativeFrom="column">
              <wp:posOffset>-635</wp:posOffset>
            </wp:positionH>
            <wp:positionV relativeFrom="paragraph">
              <wp:posOffset>151562</wp:posOffset>
            </wp:positionV>
            <wp:extent cx="4679950" cy="3308350"/>
            <wp:effectExtent l="0" t="0" r="6350" b="6350"/>
            <wp:wrapThrough wrapText="bothSides">
              <wp:wrapPolygon edited="0">
                <wp:start x="0" y="0"/>
                <wp:lineTo x="0" y="21559"/>
                <wp:lineTo x="21571" y="21559"/>
                <wp:lineTo x="21571" y="0"/>
                <wp:lineTo x="0" y="0"/>
              </wp:wrapPolygon>
            </wp:wrapThrough>
            <wp:docPr id="1344568096" name="Grafik 4" descr="Ein Bild, das Haus, Gebäude, Maßstabsmodell, Städteb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568096" name="Grafik 4" descr="Ein Bild, das Haus, Gebäude, Maßstabsmodell, Städtebau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14:sizeRelH relativeFrom="page">
              <wp14:pctWidth>0</wp14:pctWidth>
            </wp14:sizeRelH>
            <wp14:sizeRelV relativeFrom="page">
              <wp14:pctHeight>0</wp14:pctHeight>
            </wp14:sizeRelV>
          </wp:anchor>
        </w:drawing>
      </w:r>
    </w:p>
    <w:p w14:paraId="428F2FA9" w14:textId="396CA5F2" w:rsidR="00D36257" w:rsidRPr="00D93C48" w:rsidRDefault="00D36257" w:rsidP="00D36257">
      <w:pPr>
        <w:ind w:right="1702"/>
        <w:rPr>
          <w:rFonts w:ascii="Arial" w:hAnsi="Arial" w:cs="Arial"/>
          <w:sz w:val="20"/>
          <w:szCs w:val="20"/>
        </w:rPr>
      </w:pPr>
      <w:r w:rsidRPr="00D93C48">
        <w:rPr>
          <w:rFonts w:ascii="Arial" w:hAnsi="Arial" w:cs="Arial"/>
          <w:sz w:val="20"/>
          <w:szCs w:val="20"/>
        </w:rPr>
        <w:t xml:space="preserve">(Learning Arena) </w:t>
      </w:r>
      <w:r w:rsidR="0048529A" w:rsidRPr="00D93C48">
        <w:rPr>
          <w:rFonts w:ascii="Arial" w:hAnsi="Arial" w:cs="Arial"/>
          <w:sz w:val="20"/>
          <w:szCs w:val="20"/>
        </w:rPr>
        <w:t>Si l'on veut ancrer l'apprentissage dans l'entreprise, il est important de mettre en place des « arènes d'apprentissage » axées sur la valorisation et les formes modernes d'apprentissage telles que l'apprentissage par l'expérience et par la pratique. Illustration : Wilkhahn</w:t>
      </w:r>
    </w:p>
    <w:p w14:paraId="0A244A0E" w14:textId="77777777" w:rsidR="00D36257" w:rsidRPr="00D93C48" w:rsidRDefault="00D36257" w:rsidP="00D36257">
      <w:pPr>
        <w:ind w:right="1702"/>
        <w:rPr>
          <w:rFonts w:ascii="Arial" w:hAnsi="Arial" w:cs="Arial"/>
          <w:sz w:val="20"/>
          <w:szCs w:val="20"/>
        </w:rPr>
      </w:pPr>
    </w:p>
    <w:p w14:paraId="2D399E87" w14:textId="77777777" w:rsidR="00D36257" w:rsidRPr="00D93C48" w:rsidRDefault="00D36257" w:rsidP="00D36257">
      <w:pPr>
        <w:ind w:right="1702"/>
        <w:rPr>
          <w:rFonts w:ascii="Arial" w:hAnsi="Arial" w:cs="Arial"/>
          <w:sz w:val="20"/>
          <w:szCs w:val="20"/>
        </w:rPr>
      </w:pPr>
    </w:p>
    <w:p w14:paraId="168377AA" w14:textId="17DAB48E" w:rsidR="00D36257" w:rsidRPr="00D93C48" w:rsidRDefault="0017414E" w:rsidP="00D36257">
      <w:pPr>
        <w:ind w:right="1702"/>
        <w:rPr>
          <w:rFonts w:ascii="Arial" w:hAnsi="Arial" w:cs="Arial"/>
          <w:sz w:val="20"/>
          <w:szCs w:val="20"/>
        </w:rPr>
      </w:pPr>
      <w:r w:rsidRPr="00D93C48">
        <w:rPr>
          <w:rFonts w:ascii="Arial" w:hAnsi="Arial" w:cs="Arial"/>
          <w:noProof/>
          <w:sz w:val="20"/>
          <w:szCs w:val="20"/>
        </w:rPr>
        <w:drawing>
          <wp:anchor distT="0" distB="0" distL="114300" distR="114300" simplePos="0" relativeHeight="251664384" behindDoc="0" locked="0" layoutInCell="1" allowOverlap="1" wp14:anchorId="7C11F972" wp14:editId="1C912118">
            <wp:simplePos x="0" y="0"/>
            <wp:positionH relativeFrom="column">
              <wp:posOffset>4445</wp:posOffset>
            </wp:positionH>
            <wp:positionV relativeFrom="paragraph">
              <wp:posOffset>288128</wp:posOffset>
            </wp:positionV>
            <wp:extent cx="4679950" cy="3308350"/>
            <wp:effectExtent l="0" t="0" r="6350" b="6350"/>
            <wp:wrapThrough wrapText="bothSides">
              <wp:wrapPolygon edited="0">
                <wp:start x="0" y="0"/>
                <wp:lineTo x="0" y="21559"/>
                <wp:lineTo x="21571" y="21559"/>
                <wp:lineTo x="21571" y="0"/>
                <wp:lineTo x="0" y="0"/>
              </wp:wrapPolygon>
            </wp:wrapThrough>
            <wp:docPr id="449062846" name="Grafik 5" descr="Ein Bild, das Haus, Screenshot, Cartoon,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062846" name="Grafik 5" descr="Ein Bild, das Haus, Screenshot, Cartoon, Gebäude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14:sizeRelH relativeFrom="page">
              <wp14:pctWidth>0</wp14:pctWidth>
            </wp14:sizeRelH>
            <wp14:sizeRelV relativeFrom="page">
              <wp14:pctHeight>0</wp14:pctHeight>
            </wp14:sizeRelV>
          </wp:anchor>
        </w:drawing>
      </w:r>
    </w:p>
    <w:p w14:paraId="27931906" w14:textId="0F85B76E" w:rsidR="00D36257" w:rsidRPr="00D93C48" w:rsidRDefault="00D36257" w:rsidP="00D36257">
      <w:pPr>
        <w:ind w:right="1702"/>
        <w:rPr>
          <w:rFonts w:ascii="Arial" w:hAnsi="Arial" w:cs="Arial"/>
          <w:sz w:val="20"/>
          <w:szCs w:val="20"/>
        </w:rPr>
      </w:pPr>
      <w:r w:rsidRPr="00D93C48">
        <w:rPr>
          <w:rFonts w:ascii="Arial" w:hAnsi="Arial" w:cs="Arial"/>
          <w:sz w:val="20"/>
          <w:szCs w:val="20"/>
        </w:rPr>
        <w:t>(</w:t>
      </w:r>
      <w:proofErr w:type="spellStart"/>
      <w:r w:rsidRPr="00D93C48">
        <w:rPr>
          <w:rFonts w:ascii="Arial" w:hAnsi="Arial" w:cs="Arial"/>
          <w:sz w:val="20"/>
          <w:szCs w:val="20"/>
        </w:rPr>
        <w:t>Tiny</w:t>
      </w:r>
      <w:proofErr w:type="spellEnd"/>
      <w:r w:rsidRPr="00D93C48">
        <w:rPr>
          <w:rFonts w:ascii="Arial" w:hAnsi="Arial" w:cs="Arial"/>
          <w:sz w:val="20"/>
          <w:szCs w:val="20"/>
        </w:rPr>
        <w:t xml:space="preserve"> </w:t>
      </w:r>
      <w:proofErr w:type="spellStart"/>
      <w:r w:rsidRPr="00D93C48">
        <w:rPr>
          <w:rFonts w:ascii="Arial" w:hAnsi="Arial" w:cs="Arial"/>
          <w:sz w:val="20"/>
          <w:szCs w:val="20"/>
        </w:rPr>
        <w:t>Space</w:t>
      </w:r>
      <w:proofErr w:type="spellEnd"/>
      <w:r w:rsidRPr="00D93C48">
        <w:rPr>
          <w:rFonts w:ascii="Arial" w:hAnsi="Arial" w:cs="Arial"/>
          <w:sz w:val="20"/>
          <w:szCs w:val="20"/>
        </w:rPr>
        <w:t xml:space="preserve">) </w:t>
      </w:r>
      <w:r w:rsidR="0048529A" w:rsidRPr="00D93C48">
        <w:rPr>
          <w:rFonts w:ascii="Arial" w:hAnsi="Arial" w:cs="Arial"/>
          <w:sz w:val="20"/>
          <w:szCs w:val="20"/>
        </w:rPr>
        <w:t>Les groupes d'apprentissage hybrides, auxquels un coach ou d'autres participants sont associés, ont besoin de salles équipées en conséquence, qui peuvent également servir de salles de réunion et de petites salles de travail pour les projets. Illustration : Wilkhahn</w:t>
      </w:r>
    </w:p>
    <w:p w14:paraId="48586257" w14:textId="77777777" w:rsidR="00D36257" w:rsidRPr="00D93C48" w:rsidRDefault="00D36257" w:rsidP="00D36257">
      <w:pPr>
        <w:ind w:right="1702"/>
        <w:rPr>
          <w:rFonts w:ascii="Arial" w:hAnsi="Arial" w:cs="Arial"/>
          <w:sz w:val="20"/>
          <w:szCs w:val="20"/>
        </w:rPr>
      </w:pPr>
      <w:r w:rsidRPr="00D93C48">
        <w:rPr>
          <w:rFonts w:ascii="Arial" w:hAnsi="Arial" w:cs="Arial"/>
          <w:noProof/>
          <w:sz w:val="20"/>
          <w:szCs w:val="20"/>
        </w:rPr>
        <w:drawing>
          <wp:anchor distT="0" distB="0" distL="114300" distR="114300" simplePos="0" relativeHeight="251663360" behindDoc="0" locked="0" layoutInCell="1" allowOverlap="1" wp14:anchorId="5EB208B8" wp14:editId="77128E39">
            <wp:simplePos x="0" y="0"/>
            <wp:positionH relativeFrom="column">
              <wp:posOffset>-3175</wp:posOffset>
            </wp:positionH>
            <wp:positionV relativeFrom="paragraph">
              <wp:posOffset>296113</wp:posOffset>
            </wp:positionV>
            <wp:extent cx="4679950" cy="3308350"/>
            <wp:effectExtent l="0" t="0" r="6350" b="6350"/>
            <wp:wrapThrough wrapText="bothSides">
              <wp:wrapPolygon edited="0">
                <wp:start x="0" y="0"/>
                <wp:lineTo x="0" y="21559"/>
                <wp:lineTo x="21571" y="21559"/>
                <wp:lineTo x="21571" y="0"/>
                <wp:lineTo x="0" y="0"/>
              </wp:wrapPolygon>
            </wp:wrapThrough>
            <wp:docPr id="132781656" name="Grafik 6" descr="Ein Bild, das Haus, Maßstabsmodel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81656" name="Grafik 6" descr="Ein Bild, das Haus, Maßstabsmodell, Gebäude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14:sizeRelH relativeFrom="page">
              <wp14:pctWidth>0</wp14:pctWidth>
            </wp14:sizeRelH>
            <wp14:sizeRelV relativeFrom="page">
              <wp14:pctHeight>0</wp14:pctHeight>
            </wp14:sizeRelV>
          </wp:anchor>
        </w:drawing>
      </w:r>
    </w:p>
    <w:p w14:paraId="7E04A4E1" w14:textId="27734390" w:rsidR="00D36257" w:rsidRPr="00D93C48" w:rsidRDefault="0048529A" w:rsidP="00D36257">
      <w:pPr>
        <w:ind w:right="1702"/>
        <w:rPr>
          <w:rFonts w:ascii="Arial" w:hAnsi="Arial" w:cs="Arial"/>
          <w:sz w:val="20"/>
          <w:szCs w:val="20"/>
        </w:rPr>
      </w:pPr>
      <w:r w:rsidRPr="00D93C48">
        <w:rPr>
          <w:rFonts w:ascii="Arial" w:hAnsi="Arial" w:cs="Arial"/>
          <w:sz w:val="20"/>
          <w:szCs w:val="20"/>
        </w:rPr>
        <w:t>Brainstorming dans les espaces de pause : quelques équipements bien pensés permettent de transformer rapidement un Work Café en un Workshop Café. Illustration : Wilkhahn</w:t>
      </w:r>
    </w:p>
    <w:p w14:paraId="103532D0" w14:textId="3370CB47" w:rsidR="00D93C48" w:rsidRDefault="00D93C48" w:rsidP="00D36257">
      <w:pPr>
        <w:ind w:right="1702"/>
        <w:rPr>
          <w:rFonts w:ascii="Arial" w:hAnsi="Arial" w:cs="Arial"/>
          <w:sz w:val="20"/>
          <w:szCs w:val="20"/>
        </w:rPr>
      </w:pPr>
    </w:p>
    <w:p w14:paraId="7010B07D" w14:textId="0C3DB65C" w:rsidR="00D93C48" w:rsidRDefault="00D93C48" w:rsidP="00D36257">
      <w:pPr>
        <w:ind w:right="1702"/>
        <w:rPr>
          <w:rFonts w:ascii="Arial" w:hAnsi="Arial" w:cs="Arial"/>
          <w:sz w:val="20"/>
          <w:szCs w:val="20"/>
        </w:rPr>
      </w:pPr>
      <w:r w:rsidRPr="00D93C48">
        <w:rPr>
          <w:rFonts w:ascii="Arial" w:hAnsi="Arial" w:cs="Arial"/>
          <w:noProof/>
          <w:sz w:val="20"/>
          <w:szCs w:val="20"/>
        </w:rPr>
        <w:drawing>
          <wp:anchor distT="0" distB="0" distL="114300" distR="114300" simplePos="0" relativeHeight="251665408" behindDoc="0" locked="0" layoutInCell="1" allowOverlap="1" wp14:anchorId="3ACAEC88" wp14:editId="7B1E18A1">
            <wp:simplePos x="0" y="0"/>
            <wp:positionH relativeFrom="column">
              <wp:posOffset>-10632</wp:posOffset>
            </wp:positionH>
            <wp:positionV relativeFrom="paragraph">
              <wp:posOffset>285853</wp:posOffset>
            </wp:positionV>
            <wp:extent cx="4680000" cy="3308400"/>
            <wp:effectExtent l="0" t="0" r="0" b="6350"/>
            <wp:wrapThrough wrapText="bothSides">
              <wp:wrapPolygon edited="0">
                <wp:start x="0" y="0"/>
                <wp:lineTo x="0" y="21559"/>
                <wp:lineTo x="21512" y="21559"/>
                <wp:lineTo x="21512" y="0"/>
                <wp:lineTo x="0" y="0"/>
              </wp:wrapPolygon>
            </wp:wrapThrough>
            <wp:docPr id="325142832" name="Grafik 7" descr="Ein Bild, das Haus,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142832" name="Grafik 7" descr="Ein Bild, das Haus, Screenshot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80000" cy="3308400"/>
                    </a:xfrm>
                    <a:prstGeom prst="rect">
                      <a:avLst/>
                    </a:prstGeom>
                  </pic:spPr>
                </pic:pic>
              </a:graphicData>
            </a:graphic>
            <wp14:sizeRelH relativeFrom="page">
              <wp14:pctWidth>0</wp14:pctWidth>
            </wp14:sizeRelH>
            <wp14:sizeRelV relativeFrom="page">
              <wp14:pctHeight>0</wp14:pctHeight>
            </wp14:sizeRelV>
          </wp:anchor>
        </w:drawing>
      </w:r>
    </w:p>
    <w:p w14:paraId="133640B4" w14:textId="3B2898F0" w:rsidR="00D36257" w:rsidRPr="00D93C48" w:rsidRDefault="00D36257" w:rsidP="00D36257">
      <w:pPr>
        <w:ind w:right="1702"/>
        <w:rPr>
          <w:rFonts w:ascii="Arial" w:hAnsi="Arial" w:cs="Arial"/>
          <w:sz w:val="20"/>
          <w:szCs w:val="20"/>
        </w:rPr>
      </w:pPr>
      <w:r w:rsidRPr="00D93C48">
        <w:rPr>
          <w:rFonts w:ascii="Arial" w:hAnsi="Arial" w:cs="Arial"/>
          <w:sz w:val="20"/>
          <w:szCs w:val="20"/>
        </w:rPr>
        <w:t xml:space="preserve">(Areas of Future Design_02) </w:t>
      </w:r>
      <w:r w:rsidR="0048529A" w:rsidRPr="00D93C48">
        <w:rPr>
          <w:rFonts w:ascii="Arial" w:hAnsi="Arial" w:cs="Arial"/>
          <w:sz w:val="20"/>
          <w:szCs w:val="20"/>
        </w:rPr>
        <w:t>Repensé par Wilkhahn : les zones centrales peuvent être conçues comme des scènes pour des réunions spontanées, afin de pouvoir réagir directement aux besoins de changement soudains dans les processus et les projets et de tirer parti de l’impulsion du moment. Illustration : Wilkhahn</w:t>
      </w:r>
    </w:p>
    <w:p w14:paraId="235D01B3" w14:textId="77777777" w:rsidR="00D36257" w:rsidRPr="00D93C48" w:rsidRDefault="00D36257" w:rsidP="00D36257">
      <w:pPr>
        <w:ind w:right="1702"/>
        <w:rPr>
          <w:rFonts w:ascii="Arial" w:hAnsi="Arial" w:cs="Arial"/>
          <w:sz w:val="20"/>
          <w:szCs w:val="20"/>
        </w:rPr>
      </w:pPr>
    </w:p>
    <w:p w14:paraId="4216EE5E" w14:textId="44735CF8" w:rsidR="00D36257" w:rsidRPr="00D93C48" w:rsidRDefault="00D36257" w:rsidP="00D36257">
      <w:pPr>
        <w:ind w:right="1702"/>
        <w:rPr>
          <w:rFonts w:ascii="Arial" w:hAnsi="Arial" w:cs="Arial"/>
          <w:sz w:val="20"/>
          <w:szCs w:val="20"/>
        </w:rPr>
      </w:pPr>
    </w:p>
    <w:p w14:paraId="04C36AC9" w14:textId="18C260BA" w:rsidR="00D36257" w:rsidRPr="00D93C48" w:rsidRDefault="00D93C48" w:rsidP="00D36257">
      <w:pPr>
        <w:ind w:right="1702"/>
        <w:rPr>
          <w:rFonts w:ascii="Arial" w:hAnsi="Arial" w:cs="Arial"/>
          <w:sz w:val="20"/>
          <w:szCs w:val="20"/>
        </w:rPr>
      </w:pPr>
      <w:r w:rsidRPr="00D93C48">
        <w:rPr>
          <w:rFonts w:ascii="Arial" w:hAnsi="Arial" w:cs="Arial"/>
          <w:noProof/>
          <w:sz w:val="20"/>
          <w:szCs w:val="20"/>
        </w:rPr>
        <w:drawing>
          <wp:anchor distT="0" distB="0" distL="114300" distR="114300" simplePos="0" relativeHeight="251666432" behindDoc="0" locked="0" layoutInCell="1" allowOverlap="1" wp14:anchorId="70F30F25" wp14:editId="63BCCBA5">
            <wp:simplePos x="0" y="0"/>
            <wp:positionH relativeFrom="column">
              <wp:posOffset>-6985</wp:posOffset>
            </wp:positionH>
            <wp:positionV relativeFrom="paragraph">
              <wp:posOffset>14605</wp:posOffset>
            </wp:positionV>
            <wp:extent cx="3958590" cy="2851785"/>
            <wp:effectExtent l="0" t="0" r="3810" b="5715"/>
            <wp:wrapThrough wrapText="bothSides">
              <wp:wrapPolygon edited="0">
                <wp:start x="0" y="0"/>
                <wp:lineTo x="0" y="21547"/>
                <wp:lineTo x="21551" y="21547"/>
                <wp:lineTo x="21551" y="0"/>
                <wp:lineTo x="0" y="0"/>
              </wp:wrapPolygon>
            </wp:wrapThrough>
            <wp:docPr id="879428737" name="Grafik 8" descr="Ein Bild, das Text, Visitenkarte, Buch, Box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428737" name="Grafik 8" descr="Ein Bild, das Text, Visitenkarte, Buch, Box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58590" cy="2851785"/>
                    </a:xfrm>
                    <a:prstGeom prst="rect">
                      <a:avLst/>
                    </a:prstGeom>
                  </pic:spPr>
                </pic:pic>
              </a:graphicData>
            </a:graphic>
            <wp14:sizeRelH relativeFrom="page">
              <wp14:pctWidth>0</wp14:pctWidth>
            </wp14:sizeRelH>
            <wp14:sizeRelV relativeFrom="page">
              <wp14:pctHeight>0</wp14:pctHeight>
            </wp14:sizeRelV>
          </wp:anchor>
        </w:drawing>
      </w:r>
    </w:p>
    <w:p w14:paraId="57E4644E" w14:textId="570D3E15" w:rsidR="00D36257" w:rsidRPr="00D93C48" w:rsidRDefault="00D36257" w:rsidP="00D36257">
      <w:pPr>
        <w:ind w:right="1702"/>
        <w:rPr>
          <w:rFonts w:ascii="Arial" w:hAnsi="Arial" w:cs="Arial"/>
          <w:sz w:val="20"/>
          <w:szCs w:val="20"/>
        </w:rPr>
      </w:pPr>
    </w:p>
    <w:p w14:paraId="3BF93AB3" w14:textId="77777777" w:rsidR="0048529A" w:rsidRPr="00D93C48" w:rsidRDefault="0048529A" w:rsidP="00D36257">
      <w:pPr>
        <w:rPr>
          <w:rFonts w:ascii="Arial" w:hAnsi="Arial" w:cs="Arial"/>
          <w:sz w:val="20"/>
          <w:szCs w:val="20"/>
        </w:rPr>
      </w:pPr>
    </w:p>
    <w:p w14:paraId="1509851C" w14:textId="77777777" w:rsidR="0048529A" w:rsidRPr="00D93C48" w:rsidRDefault="0048529A" w:rsidP="00D36257">
      <w:pPr>
        <w:rPr>
          <w:rFonts w:ascii="Arial" w:hAnsi="Arial" w:cs="Arial"/>
          <w:sz w:val="20"/>
          <w:szCs w:val="20"/>
        </w:rPr>
      </w:pPr>
    </w:p>
    <w:p w14:paraId="3A4480B7" w14:textId="77777777" w:rsidR="0048529A" w:rsidRPr="00D93C48" w:rsidRDefault="0048529A" w:rsidP="00D36257">
      <w:pPr>
        <w:rPr>
          <w:rFonts w:ascii="Arial" w:hAnsi="Arial" w:cs="Arial"/>
          <w:sz w:val="20"/>
          <w:szCs w:val="20"/>
        </w:rPr>
      </w:pPr>
    </w:p>
    <w:p w14:paraId="4732F4C5" w14:textId="77777777" w:rsidR="0048529A" w:rsidRPr="00D93C48" w:rsidRDefault="0048529A" w:rsidP="00D36257">
      <w:pPr>
        <w:rPr>
          <w:rFonts w:ascii="Arial" w:hAnsi="Arial" w:cs="Arial"/>
          <w:sz w:val="20"/>
          <w:szCs w:val="20"/>
        </w:rPr>
      </w:pPr>
    </w:p>
    <w:p w14:paraId="539B4BA5" w14:textId="77777777" w:rsidR="0048529A" w:rsidRPr="00D93C48" w:rsidRDefault="0048529A" w:rsidP="00D36257">
      <w:pPr>
        <w:rPr>
          <w:rFonts w:ascii="Arial" w:hAnsi="Arial" w:cs="Arial"/>
          <w:sz w:val="20"/>
          <w:szCs w:val="20"/>
        </w:rPr>
      </w:pPr>
    </w:p>
    <w:p w14:paraId="5446EE85" w14:textId="581F0DDC" w:rsidR="00D36257" w:rsidRPr="00D93C48" w:rsidRDefault="0048529A" w:rsidP="00163646">
      <w:pPr>
        <w:ind w:right="2836"/>
        <w:rPr>
          <w:rFonts w:ascii="Arial" w:hAnsi="Arial" w:cs="Arial"/>
          <w:b/>
          <w:bCs/>
          <w:color w:val="000000" w:themeColor="text1"/>
        </w:rPr>
      </w:pPr>
      <w:r w:rsidRPr="00D93C48">
        <w:rPr>
          <w:rFonts w:ascii="Arial" w:hAnsi="Arial" w:cs="Arial"/>
          <w:sz w:val="20"/>
          <w:szCs w:val="20"/>
        </w:rPr>
        <w:t>(</w:t>
      </w:r>
      <w:proofErr w:type="spellStart"/>
      <w:r w:rsidRPr="00D93C48">
        <w:rPr>
          <w:rFonts w:ascii="Arial" w:hAnsi="Arial" w:cs="Arial"/>
          <w:sz w:val="20"/>
          <w:szCs w:val="20"/>
        </w:rPr>
        <w:t>Mockup</w:t>
      </w:r>
      <w:proofErr w:type="spellEnd"/>
      <w:r w:rsidRPr="00D93C48">
        <w:rPr>
          <w:rFonts w:ascii="Arial" w:hAnsi="Arial" w:cs="Arial"/>
          <w:sz w:val="20"/>
          <w:szCs w:val="20"/>
        </w:rPr>
        <w:t xml:space="preserve">) À feuilleter en ligne sur le site Internet ou disponible au format papier sur commande : la brochure en anglais de 120 pages consacrée aux différentes formes de collaboration agile. </w:t>
      </w:r>
      <w:r w:rsidR="00D93C48">
        <w:rPr>
          <w:rFonts w:ascii="Arial" w:hAnsi="Arial" w:cs="Arial"/>
          <w:sz w:val="20"/>
          <w:szCs w:val="20"/>
        </w:rPr>
        <w:t>Illustration</w:t>
      </w:r>
      <w:r w:rsidRPr="00D93C48">
        <w:rPr>
          <w:rFonts w:ascii="Arial" w:hAnsi="Arial" w:cs="Arial"/>
          <w:sz w:val="20"/>
          <w:szCs w:val="20"/>
        </w:rPr>
        <w:t xml:space="preserve"> : Wilkhahn</w:t>
      </w:r>
      <w:r w:rsidR="00D36257" w:rsidRPr="00D93C48">
        <w:rPr>
          <w:rFonts w:ascii="Arial" w:hAnsi="Arial" w:cs="Arial"/>
          <w:b/>
          <w:bCs/>
          <w:color w:val="000000" w:themeColor="text1"/>
        </w:rPr>
        <w:br w:type="page"/>
      </w:r>
    </w:p>
    <w:p w14:paraId="5F9D79EE" w14:textId="77777777" w:rsidR="00F925F7" w:rsidRPr="00D93C48" w:rsidRDefault="00F925F7" w:rsidP="0092379E">
      <w:pPr>
        <w:rPr>
          <w:rFonts w:ascii="Arial" w:hAnsi="Arial" w:cs="Arial"/>
          <w:b/>
          <w:bCs/>
          <w:color w:val="000000" w:themeColor="text1"/>
        </w:rPr>
      </w:pPr>
    </w:p>
    <w:p w14:paraId="5059B651" w14:textId="77777777" w:rsidR="00F925F7" w:rsidRPr="00D93C48" w:rsidRDefault="00F925F7" w:rsidP="0092379E">
      <w:pPr>
        <w:rPr>
          <w:rFonts w:ascii="Arial" w:hAnsi="Arial" w:cs="Arial"/>
          <w:b/>
          <w:bCs/>
          <w:color w:val="000000" w:themeColor="text1"/>
        </w:rPr>
      </w:pPr>
    </w:p>
    <w:p w14:paraId="6E363ECD" w14:textId="375B9B18" w:rsidR="0092379E" w:rsidRPr="00D93C48" w:rsidRDefault="00F925F7" w:rsidP="0092379E">
      <w:pPr>
        <w:rPr>
          <w:rFonts w:ascii="Arial" w:hAnsi="Arial" w:cs="Arial"/>
          <w:b/>
          <w:bCs/>
          <w:color w:val="000000" w:themeColor="text1"/>
        </w:rPr>
      </w:pPr>
      <w:r w:rsidRPr="00D93C48">
        <w:rPr>
          <w:rFonts w:ascii="Arial" w:hAnsi="Arial" w:cs="Arial"/>
          <w:b/>
          <w:bCs/>
          <w:color w:val="000000" w:themeColor="text1"/>
        </w:rPr>
        <w:t>C</w:t>
      </w:r>
      <w:r w:rsidR="0092379E" w:rsidRPr="00D93C48">
        <w:rPr>
          <w:rFonts w:ascii="Arial" w:hAnsi="Arial" w:cs="Arial"/>
          <w:b/>
          <w:bCs/>
          <w:color w:val="000000" w:themeColor="text1"/>
        </w:rPr>
        <w:t>ontact presse :</w:t>
      </w:r>
      <w:r w:rsidR="0092379E" w:rsidRPr="00D93C48">
        <w:rPr>
          <w:rFonts w:ascii="Arial" w:hAnsi="Arial" w:cs="Arial"/>
          <w:b/>
          <w:bCs/>
          <w:color w:val="000000" w:themeColor="text1"/>
        </w:rPr>
        <w:tab/>
      </w:r>
    </w:p>
    <w:p w14:paraId="10430685" w14:textId="01BA2C86" w:rsidR="00912C8A" w:rsidRPr="00D93C48" w:rsidRDefault="0092379E" w:rsidP="00912C8A">
      <w:pPr>
        <w:rPr>
          <w:rFonts w:ascii="Arial" w:hAnsi="Arial" w:cs="Arial"/>
          <w:color w:val="4F81BD" w:themeColor="accent1"/>
        </w:rPr>
      </w:pPr>
      <w:proofErr w:type="spellStart"/>
      <w:r w:rsidRPr="00D93C48">
        <w:rPr>
          <w:rFonts w:ascii="Arial" w:hAnsi="Arial" w:cs="Arial"/>
          <w:color w:val="000000" w:themeColor="text1"/>
        </w:rPr>
        <w:t>Wilkhahn</w:t>
      </w:r>
      <w:proofErr w:type="spellEnd"/>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t xml:space="preserve">mai public relations </w:t>
      </w:r>
      <w:proofErr w:type="spellStart"/>
      <w:r w:rsidRPr="00D93C48">
        <w:rPr>
          <w:rFonts w:ascii="Arial" w:hAnsi="Arial" w:cs="Arial"/>
          <w:color w:val="000000" w:themeColor="text1"/>
        </w:rPr>
        <w:t>GmbH</w:t>
      </w:r>
      <w:proofErr w:type="spellEnd"/>
      <w:r w:rsidRPr="00D93C48">
        <w:rPr>
          <w:rFonts w:ascii="Arial" w:hAnsi="Arial" w:cs="Arial"/>
          <w:color w:val="000000" w:themeColor="text1"/>
        </w:rPr>
        <w:br/>
      </w:r>
      <w:proofErr w:type="spellStart"/>
      <w:r w:rsidRPr="00D93C48">
        <w:rPr>
          <w:rFonts w:ascii="Arial" w:hAnsi="Arial" w:cs="Arial"/>
          <w:color w:val="000000" w:themeColor="text1"/>
        </w:rPr>
        <w:t>Wilkening</w:t>
      </w:r>
      <w:proofErr w:type="spellEnd"/>
      <w:r w:rsidRPr="00D93C48">
        <w:rPr>
          <w:rFonts w:ascii="Arial" w:hAnsi="Arial" w:cs="Arial"/>
          <w:color w:val="000000" w:themeColor="text1"/>
        </w:rPr>
        <w:t xml:space="preserve"> + </w:t>
      </w:r>
      <w:proofErr w:type="spellStart"/>
      <w:r w:rsidRPr="00D93C48">
        <w:rPr>
          <w:rFonts w:ascii="Arial" w:hAnsi="Arial" w:cs="Arial"/>
          <w:color w:val="000000" w:themeColor="text1"/>
        </w:rPr>
        <w:t>Hahne</w:t>
      </w:r>
      <w:proofErr w:type="spellEnd"/>
      <w:r w:rsidRPr="00D93C48">
        <w:rPr>
          <w:rFonts w:ascii="Arial" w:hAnsi="Arial" w:cs="Arial"/>
          <w:color w:val="000000" w:themeColor="text1"/>
        </w:rPr>
        <w:t xml:space="preserve"> GmbH+Co.KG</w:t>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t xml:space="preserve">Arno </w:t>
      </w:r>
      <w:proofErr w:type="spellStart"/>
      <w:r w:rsidRPr="00D93C48">
        <w:rPr>
          <w:rFonts w:ascii="Arial" w:hAnsi="Arial" w:cs="Arial"/>
          <w:color w:val="000000" w:themeColor="text1"/>
        </w:rPr>
        <w:t>Heitland</w:t>
      </w:r>
      <w:proofErr w:type="spellEnd"/>
      <w:r w:rsidRPr="00D93C48">
        <w:rPr>
          <w:rFonts w:ascii="Arial" w:hAnsi="Arial" w:cs="Arial"/>
          <w:color w:val="000000" w:themeColor="text1"/>
        </w:rPr>
        <w:t xml:space="preserve"> </w:t>
      </w:r>
      <w:r w:rsidRPr="00D93C48">
        <w:rPr>
          <w:rFonts w:ascii="Arial" w:hAnsi="Arial" w:cs="Arial"/>
          <w:color w:val="000000" w:themeColor="text1"/>
        </w:rPr>
        <w:br/>
      </w:r>
      <w:proofErr w:type="spellStart"/>
      <w:r w:rsidRPr="00D93C48">
        <w:rPr>
          <w:rFonts w:ascii="Arial" w:hAnsi="Arial" w:cs="Arial"/>
          <w:color w:val="000000" w:themeColor="text1"/>
        </w:rPr>
        <w:t>Burkhard</w:t>
      </w:r>
      <w:proofErr w:type="spellEnd"/>
      <w:r w:rsidRPr="00D93C48">
        <w:rPr>
          <w:rFonts w:ascii="Arial" w:hAnsi="Arial" w:cs="Arial"/>
          <w:color w:val="000000" w:themeColor="text1"/>
        </w:rPr>
        <w:t xml:space="preserve"> </w:t>
      </w:r>
      <w:proofErr w:type="spellStart"/>
      <w:r w:rsidRPr="00D93C48">
        <w:rPr>
          <w:rFonts w:ascii="Arial" w:hAnsi="Arial" w:cs="Arial"/>
          <w:color w:val="000000" w:themeColor="text1"/>
        </w:rPr>
        <w:t>Remmers</w:t>
      </w:r>
      <w:proofErr w:type="spellEnd"/>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proofErr w:type="spellStart"/>
      <w:r w:rsidRPr="00D93C48">
        <w:rPr>
          <w:rFonts w:ascii="Arial" w:hAnsi="Arial" w:cs="Arial"/>
          <w:color w:val="000000" w:themeColor="text1"/>
        </w:rPr>
        <w:t>Leuschnerdamm</w:t>
      </w:r>
      <w:proofErr w:type="spellEnd"/>
      <w:r w:rsidRPr="00D93C48">
        <w:rPr>
          <w:rFonts w:ascii="Arial" w:hAnsi="Arial" w:cs="Arial"/>
          <w:color w:val="000000" w:themeColor="text1"/>
        </w:rPr>
        <w:t xml:space="preserve"> 13</w:t>
      </w:r>
      <w:r w:rsidRPr="00D93C48">
        <w:rPr>
          <w:rFonts w:ascii="Arial" w:hAnsi="Arial" w:cs="Arial"/>
          <w:color w:val="000000" w:themeColor="text1"/>
        </w:rPr>
        <w:br/>
        <w:t>Fritz-</w:t>
      </w:r>
      <w:proofErr w:type="spellStart"/>
      <w:r w:rsidRPr="00D93C48">
        <w:rPr>
          <w:rFonts w:ascii="Arial" w:hAnsi="Arial" w:cs="Arial"/>
          <w:color w:val="000000" w:themeColor="text1"/>
        </w:rPr>
        <w:t>Hahne</w:t>
      </w:r>
      <w:proofErr w:type="spellEnd"/>
      <w:r w:rsidRPr="00D93C48">
        <w:rPr>
          <w:rFonts w:ascii="Arial" w:hAnsi="Arial" w:cs="Arial"/>
          <w:color w:val="000000" w:themeColor="text1"/>
        </w:rPr>
        <w:t>-</w:t>
      </w:r>
      <w:proofErr w:type="spellStart"/>
      <w:r w:rsidRPr="00D93C48">
        <w:rPr>
          <w:rFonts w:ascii="Arial" w:hAnsi="Arial" w:cs="Arial"/>
          <w:color w:val="000000" w:themeColor="text1"/>
        </w:rPr>
        <w:t>Straße</w:t>
      </w:r>
      <w:proofErr w:type="spellEnd"/>
      <w:r w:rsidRPr="00D93C48">
        <w:rPr>
          <w:rFonts w:ascii="Arial" w:hAnsi="Arial" w:cs="Arial"/>
          <w:color w:val="000000" w:themeColor="text1"/>
        </w:rPr>
        <w:t xml:space="preserve"> 8</w:t>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00AE13C1">
        <w:rPr>
          <w:rFonts w:ascii="Arial" w:hAnsi="Arial" w:cs="Arial"/>
          <w:color w:val="000000" w:themeColor="text1"/>
        </w:rPr>
        <w:tab/>
      </w:r>
      <w:r w:rsidRPr="00D93C48">
        <w:rPr>
          <w:rFonts w:ascii="Arial" w:hAnsi="Arial" w:cs="Arial"/>
          <w:color w:val="000000" w:themeColor="text1"/>
        </w:rPr>
        <w:t>10999 Berlin, Allemagne</w:t>
      </w:r>
      <w:r w:rsidRPr="00D93C48">
        <w:rPr>
          <w:rFonts w:ascii="Arial" w:hAnsi="Arial" w:cs="Arial"/>
          <w:color w:val="000000" w:themeColor="text1"/>
        </w:rPr>
        <w:br/>
        <w:t xml:space="preserve">31848 Bad </w:t>
      </w:r>
      <w:proofErr w:type="spellStart"/>
      <w:r w:rsidRPr="00D93C48">
        <w:rPr>
          <w:rFonts w:ascii="Arial" w:hAnsi="Arial" w:cs="Arial"/>
          <w:color w:val="000000" w:themeColor="text1"/>
        </w:rPr>
        <w:t>Münder</w:t>
      </w:r>
      <w:proofErr w:type="spellEnd"/>
      <w:r w:rsidRPr="00D93C48">
        <w:rPr>
          <w:rFonts w:ascii="Arial" w:hAnsi="Arial" w:cs="Arial"/>
          <w:color w:val="000000" w:themeColor="text1"/>
        </w:rPr>
        <w:t>, Allemagne</w:t>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t>T</w:t>
      </w:r>
      <w:r w:rsidRPr="00D93C48">
        <w:rPr>
          <w:rFonts w:ascii="Arial" w:hAnsi="Arial" w:cs="Arial"/>
        </w:rPr>
        <w:t>é</w:t>
      </w:r>
      <w:r w:rsidRPr="00D93C48">
        <w:rPr>
          <w:rFonts w:ascii="Arial" w:hAnsi="Arial" w:cs="Arial"/>
          <w:color w:val="000000" w:themeColor="text1"/>
        </w:rPr>
        <w:t>l.  +49 (0) 30 66 40 40 553</w:t>
      </w:r>
      <w:r w:rsidRPr="00D93C48">
        <w:rPr>
          <w:rFonts w:ascii="Arial" w:hAnsi="Arial" w:cs="Arial"/>
          <w:color w:val="000000" w:themeColor="text1"/>
        </w:rPr>
        <w:br/>
        <w:t>T</w:t>
      </w:r>
      <w:r w:rsidRPr="00D93C48">
        <w:rPr>
          <w:rFonts w:ascii="Arial" w:hAnsi="Arial" w:cs="Arial"/>
        </w:rPr>
        <w:t>é</w:t>
      </w:r>
      <w:r w:rsidRPr="00D93C48">
        <w:rPr>
          <w:rFonts w:ascii="Arial" w:hAnsi="Arial" w:cs="Arial"/>
          <w:color w:val="000000" w:themeColor="text1"/>
        </w:rPr>
        <w:t>l.   +49 (0) 5042 999 169</w:t>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0000" w:themeColor="text1"/>
        </w:rPr>
        <w:tab/>
      </w:r>
      <w:r w:rsidRPr="00D93C48">
        <w:rPr>
          <w:rFonts w:ascii="Arial" w:hAnsi="Arial" w:cs="Arial"/>
          <w:color w:val="0070C0"/>
        </w:rPr>
        <w:tab/>
      </w:r>
      <w:hyperlink r:id="rId15" w:history="1">
        <w:r w:rsidRPr="00D93C48">
          <w:rPr>
            <w:rStyle w:val="Hyperlink"/>
            <w:rFonts w:ascii="Arial" w:hAnsi="Arial" w:cs="Arial"/>
            <w:color w:val="4F81BD" w:themeColor="accent1"/>
          </w:rPr>
          <w:t>wilkhahn@maipr.com</w:t>
        </w:r>
      </w:hyperlink>
      <w:r w:rsidRPr="00D93C48">
        <w:rPr>
          <w:rStyle w:val="Hyperlink"/>
          <w:rFonts w:ascii="Arial" w:hAnsi="Arial" w:cs="Arial"/>
          <w:color w:val="0070C0"/>
        </w:rPr>
        <w:t xml:space="preserve"> </w:t>
      </w:r>
      <w:r w:rsidRPr="00D93C48">
        <w:rPr>
          <w:rFonts w:ascii="Arial" w:hAnsi="Arial" w:cs="Arial"/>
          <w:color w:val="0070C0"/>
        </w:rPr>
        <w:br/>
      </w:r>
      <w:proofErr w:type="gramStart"/>
      <w:r w:rsidRPr="00D93C48">
        <w:rPr>
          <w:rFonts w:ascii="Arial" w:hAnsi="Arial" w:cs="Arial"/>
          <w:color w:val="000000" w:themeColor="text1"/>
        </w:rPr>
        <w:t>Mobile:</w:t>
      </w:r>
      <w:proofErr w:type="gramEnd"/>
      <w:r w:rsidRPr="00D93C48">
        <w:rPr>
          <w:rFonts w:ascii="Arial" w:hAnsi="Arial" w:cs="Arial"/>
          <w:color w:val="000000" w:themeColor="text1"/>
        </w:rPr>
        <w:t xml:space="preserve"> +49 172 544 99 75</w:t>
      </w:r>
      <w:r w:rsidR="00912C8A" w:rsidRPr="00D93C48">
        <w:rPr>
          <w:rFonts w:ascii="Arial" w:hAnsi="Arial" w:cs="Arial"/>
          <w:color w:val="000000" w:themeColor="text1"/>
        </w:rPr>
        <w:br/>
      </w:r>
      <w:hyperlink r:id="rId16" w:history="1">
        <w:r w:rsidRPr="00D93C48">
          <w:rPr>
            <w:rStyle w:val="Hyperlink"/>
            <w:rFonts w:ascii="Arial" w:hAnsi="Arial" w:cs="Arial"/>
            <w:color w:val="4F81BD" w:themeColor="accent1"/>
          </w:rPr>
          <w:t>burkhard.remmers@wilkhahn.de</w:t>
        </w:r>
      </w:hyperlink>
      <w:r w:rsidR="00912C8A" w:rsidRPr="00D93C48">
        <w:rPr>
          <w:rFonts w:ascii="Arial" w:hAnsi="Arial" w:cs="Arial"/>
        </w:rPr>
        <w:br/>
      </w:r>
      <w:hyperlink r:id="rId17" w:history="1">
        <w:r w:rsidR="00912C8A" w:rsidRPr="00D93C48">
          <w:rPr>
            <w:rStyle w:val="Hyperlink"/>
            <w:rFonts w:ascii="Arial" w:hAnsi="Arial" w:cs="Arial"/>
            <w:color w:val="4F81BD" w:themeColor="accent1"/>
          </w:rPr>
          <w:t>www.wilkhahn.de</w:t>
        </w:r>
      </w:hyperlink>
    </w:p>
    <w:p w14:paraId="11B60DFB" w14:textId="77777777" w:rsidR="00912C8A" w:rsidRPr="00D93C48" w:rsidRDefault="00912C8A" w:rsidP="0092379E">
      <w:pPr>
        <w:rPr>
          <w:rFonts w:ascii="Arial" w:hAnsi="Arial" w:cs="Arial"/>
          <w:color w:val="4F81BD" w:themeColor="accent1"/>
        </w:rPr>
      </w:pPr>
    </w:p>
    <w:p w14:paraId="4C8B7D6C" w14:textId="77777777" w:rsidR="00D04283" w:rsidRPr="00D93C48" w:rsidRDefault="00D04283" w:rsidP="00F51C59">
      <w:pPr>
        <w:spacing w:after="0" w:line="240" w:lineRule="auto"/>
        <w:rPr>
          <w:rFonts w:ascii="Arial" w:hAnsi="Arial" w:cs="Arial"/>
        </w:rPr>
      </w:pPr>
    </w:p>
    <w:sectPr w:rsidR="00D04283" w:rsidRPr="00D93C48" w:rsidSect="000B15B8">
      <w:headerReference w:type="default" r:id="rId18"/>
      <w:pgSz w:w="11906" w:h="16838"/>
      <w:pgMar w:top="1417"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D50ABC" w14:textId="77777777" w:rsidR="00BF0C08" w:rsidRDefault="00BF0C08" w:rsidP="000B15B8">
      <w:pPr>
        <w:spacing w:after="0" w:line="240" w:lineRule="auto"/>
      </w:pPr>
      <w:r>
        <w:separator/>
      </w:r>
    </w:p>
  </w:endnote>
  <w:endnote w:type="continuationSeparator" w:id="0">
    <w:p w14:paraId="2424631B" w14:textId="77777777" w:rsidR="00BF0C08" w:rsidRDefault="00BF0C08" w:rsidP="000B15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EC34E5" w14:textId="77777777" w:rsidR="00BF0C08" w:rsidRDefault="00BF0C08" w:rsidP="000B15B8">
      <w:pPr>
        <w:spacing w:after="0" w:line="240" w:lineRule="auto"/>
      </w:pPr>
      <w:r>
        <w:separator/>
      </w:r>
    </w:p>
  </w:footnote>
  <w:footnote w:type="continuationSeparator" w:id="0">
    <w:p w14:paraId="22189DDC" w14:textId="77777777" w:rsidR="00BF0C08" w:rsidRDefault="00BF0C08" w:rsidP="000B15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02926" w14:textId="77777777" w:rsidR="000B15B8" w:rsidRDefault="000B15B8" w:rsidP="000B15B8">
    <w:pPr>
      <w:pStyle w:val="Kopfzeile"/>
      <w:jc w:val="right"/>
    </w:pPr>
    <w:r>
      <w:tab/>
    </w:r>
    <w:r>
      <w:rPr>
        <w:noProof/>
      </w:rPr>
      <w:drawing>
        <wp:inline distT="0" distB="0" distL="0" distR="0" wp14:anchorId="57202927" wp14:editId="57202928">
          <wp:extent cx="1752600" cy="315668"/>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1FE7"/>
    <w:rsid w:val="000039F1"/>
    <w:rsid w:val="0001426A"/>
    <w:rsid w:val="00025E89"/>
    <w:rsid w:val="0003726A"/>
    <w:rsid w:val="00037DE1"/>
    <w:rsid w:val="00041BA1"/>
    <w:rsid w:val="00044054"/>
    <w:rsid w:val="00073F00"/>
    <w:rsid w:val="000805D0"/>
    <w:rsid w:val="00081B44"/>
    <w:rsid w:val="00084141"/>
    <w:rsid w:val="000907FE"/>
    <w:rsid w:val="00094669"/>
    <w:rsid w:val="000B0B13"/>
    <w:rsid w:val="000B15B8"/>
    <w:rsid w:val="000B4463"/>
    <w:rsid w:val="000B738C"/>
    <w:rsid w:val="000B7B4E"/>
    <w:rsid w:val="000C1B8B"/>
    <w:rsid w:val="000C306F"/>
    <w:rsid w:val="000D58D1"/>
    <w:rsid w:val="000F0052"/>
    <w:rsid w:val="000F4026"/>
    <w:rsid w:val="00107DB1"/>
    <w:rsid w:val="00113D16"/>
    <w:rsid w:val="00117923"/>
    <w:rsid w:val="00125B16"/>
    <w:rsid w:val="00144F9C"/>
    <w:rsid w:val="00145F46"/>
    <w:rsid w:val="00163646"/>
    <w:rsid w:val="0016505E"/>
    <w:rsid w:val="00167E2B"/>
    <w:rsid w:val="0017064C"/>
    <w:rsid w:val="0017414E"/>
    <w:rsid w:val="00174E5D"/>
    <w:rsid w:val="00186374"/>
    <w:rsid w:val="001953FB"/>
    <w:rsid w:val="001A234C"/>
    <w:rsid w:val="001B5A3C"/>
    <w:rsid w:val="001C70B8"/>
    <w:rsid w:val="001D4C08"/>
    <w:rsid w:val="001D6287"/>
    <w:rsid w:val="001E0F02"/>
    <w:rsid w:val="001E48B0"/>
    <w:rsid w:val="001E4DDF"/>
    <w:rsid w:val="00203B4A"/>
    <w:rsid w:val="002048EC"/>
    <w:rsid w:val="00207DFE"/>
    <w:rsid w:val="0021292C"/>
    <w:rsid w:val="0021621B"/>
    <w:rsid w:val="00225BF7"/>
    <w:rsid w:val="002470F1"/>
    <w:rsid w:val="00267254"/>
    <w:rsid w:val="0026775A"/>
    <w:rsid w:val="00271081"/>
    <w:rsid w:val="002821FB"/>
    <w:rsid w:val="002A109D"/>
    <w:rsid w:val="002A4136"/>
    <w:rsid w:val="002A45C8"/>
    <w:rsid w:val="002A5167"/>
    <w:rsid w:val="002C7023"/>
    <w:rsid w:val="002D2E10"/>
    <w:rsid w:val="002D479F"/>
    <w:rsid w:val="002E071A"/>
    <w:rsid w:val="002F2013"/>
    <w:rsid w:val="002F301A"/>
    <w:rsid w:val="00312F27"/>
    <w:rsid w:val="00317033"/>
    <w:rsid w:val="00317B5B"/>
    <w:rsid w:val="0032570D"/>
    <w:rsid w:val="00327EF0"/>
    <w:rsid w:val="00331185"/>
    <w:rsid w:val="0035313A"/>
    <w:rsid w:val="00356E4E"/>
    <w:rsid w:val="00357931"/>
    <w:rsid w:val="00357C42"/>
    <w:rsid w:val="003629B7"/>
    <w:rsid w:val="00376C0A"/>
    <w:rsid w:val="00376D8C"/>
    <w:rsid w:val="00384CB8"/>
    <w:rsid w:val="003944DB"/>
    <w:rsid w:val="003C0222"/>
    <w:rsid w:val="003C6B01"/>
    <w:rsid w:val="003D18F7"/>
    <w:rsid w:val="003D5442"/>
    <w:rsid w:val="003E0B92"/>
    <w:rsid w:val="003E13D2"/>
    <w:rsid w:val="003E2598"/>
    <w:rsid w:val="004014B1"/>
    <w:rsid w:val="004030F8"/>
    <w:rsid w:val="00407C25"/>
    <w:rsid w:val="00411C09"/>
    <w:rsid w:val="004214F8"/>
    <w:rsid w:val="00427700"/>
    <w:rsid w:val="00431961"/>
    <w:rsid w:val="00433AE1"/>
    <w:rsid w:val="00435341"/>
    <w:rsid w:val="00437A13"/>
    <w:rsid w:val="00443E07"/>
    <w:rsid w:val="00445C2F"/>
    <w:rsid w:val="00446D04"/>
    <w:rsid w:val="0044729A"/>
    <w:rsid w:val="00452936"/>
    <w:rsid w:val="00452B72"/>
    <w:rsid w:val="00453227"/>
    <w:rsid w:val="00455C85"/>
    <w:rsid w:val="00463C6B"/>
    <w:rsid w:val="00465F7A"/>
    <w:rsid w:val="004677D5"/>
    <w:rsid w:val="00472025"/>
    <w:rsid w:val="004743C8"/>
    <w:rsid w:val="004770F9"/>
    <w:rsid w:val="00477605"/>
    <w:rsid w:val="00481C0D"/>
    <w:rsid w:val="00483D83"/>
    <w:rsid w:val="0048415A"/>
    <w:rsid w:val="0048529A"/>
    <w:rsid w:val="00491799"/>
    <w:rsid w:val="004967EF"/>
    <w:rsid w:val="004C1F14"/>
    <w:rsid w:val="004C2001"/>
    <w:rsid w:val="004D3A63"/>
    <w:rsid w:val="004D746C"/>
    <w:rsid w:val="004E1CA7"/>
    <w:rsid w:val="004E486F"/>
    <w:rsid w:val="004F4ADE"/>
    <w:rsid w:val="00500B7C"/>
    <w:rsid w:val="0050670A"/>
    <w:rsid w:val="005114CD"/>
    <w:rsid w:val="00511C58"/>
    <w:rsid w:val="00517F5B"/>
    <w:rsid w:val="00521DB5"/>
    <w:rsid w:val="00523205"/>
    <w:rsid w:val="0052643F"/>
    <w:rsid w:val="0053262E"/>
    <w:rsid w:val="00535150"/>
    <w:rsid w:val="00550B8C"/>
    <w:rsid w:val="00565379"/>
    <w:rsid w:val="005715DC"/>
    <w:rsid w:val="005736FD"/>
    <w:rsid w:val="005809E7"/>
    <w:rsid w:val="005811B8"/>
    <w:rsid w:val="00581252"/>
    <w:rsid w:val="0058125D"/>
    <w:rsid w:val="005832C1"/>
    <w:rsid w:val="005864A6"/>
    <w:rsid w:val="00587646"/>
    <w:rsid w:val="005A0C7A"/>
    <w:rsid w:val="005A2AA4"/>
    <w:rsid w:val="005A6FAC"/>
    <w:rsid w:val="005A7709"/>
    <w:rsid w:val="005B0DD0"/>
    <w:rsid w:val="005C7216"/>
    <w:rsid w:val="005D4686"/>
    <w:rsid w:val="005D6CD7"/>
    <w:rsid w:val="006062B9"/>
    <w:rsid w:val="00626148"/>
    <w:rsid w:val="0062753E"/>
    <w:rsid w:val="006307F9"/>
    <w:rsid w:val="00632096"/>
    <w:rsid w:val="006320A7"/>
    <w:rsid w:val="00634A8C"/>
    <w:rsid w:val="00635E9D"/>
    <w:rsid w:val="00643461"/>
    <w:rsid w:val="00645BB8"/>
    <w:rsid w:val="00653C98"/>
    <w:rsid w:val="00655446"/>
    <w:rsid w:val="00665A16"/>
    <w:rsid w:val="00690C12"/>
    <w:rsid w:val="00694725"/>
    <w:rsid w:val="00695076"/>
    <w:rsid w:val="006A098D"/>
    <w:rsid w:val="006A1644"/>
    <w:rsid w:val="006A5122"/>
    <w:rsid w:val="006B1A8D"/>
    <w:rsid w:val="006B26E7"/>
    <w:rsid w:val="006B2E53"/>
    <w:rsid w:val="006D1595"/>
    <w:rsid w:val="006D1D56"/>
    <w:rsid w:val="006D3332"/>
    <w:rsid w:val="006D5746"/>
    <w:rsid w:val="006F21A8"/>
    <w:rsid w:val="00701B71"/>
    <w:rsid w:val="00704A13"/>
    <w:rsid w:val="00705B3A"/>
    <w:rsid w:val="0070608A"/>
    <w:rsid w:val="007065A0"/>
    <w:rsid w:val="00711C9C"/>
    <w:rsid w:val="007132F0"/>
    <w:rsid w:val="007133E5"/>
    <w:rsid w:val="00716083"/>
    <w:rsid w:val="007247BE"/>
    <w:rsid w:val="00725B22"/>
    <w:rsid w:val="00726261"/>
    <w:rsid w:val="00744DA1"/>
    <w:rsid w:val="0074738C"/>
    <w:rsid w:val="00753513"/>
    <w:rsid w:val="007658E9"/>
    <w:rsid w:val="00770A6A"/>
    <w:rsid w:val="007723A8"/>
    <w:rsid w:val="00772E45"/>
    <w:rsid w:val="00777726"/>
    <w:rsid w:val="0078297E"/>
    <w:rsid w:val="00792587"/>
    <w:rsid w:val="00793006"/>
    <w:rsid w:val="007A01C2"/>
    <w:rsid w:val="007A0353"/>
    <w:rsid w:val="007B4A30"/>
    <w:rsid w:val="007C549D"/>
    <w:rsid w:val="007D0F3F"/>
    <w:rsid w:val="007D219A"/>
    <w:rsid w:val="007D2C7F"/>
    <w:rsid w:val="007D7A68"/>
    <w:rsid w:val="007E6923"/>
    <w:rsid w:val="007F067B"/>
    <w:rsid w:val="007F2415"/>
    <w:rsid w:val="008027D3"/>
    <w:rsid w:val="00814DFE"/>
    <w:rsid w:val="008200A8"/>
    <w:rsid w:val="0083254F"/>
    <w:rsid w:val="008340CE"/>
    <w:rsid w:val="00837517"/>
    <w:rsid w:val="00847492"/>
    <w:rsid w:val="00852043"/>
    <w:rsid w:val="00855C9E"/>
    <w:rsid w:val="00864AE8"/>
    <w:rsid w:val="008721F6"/>
    <w:rsid w:val="00892802"/>
    <w:rsid w:val="008937F5"/>
    <w:rsid w:val="00893975"/>
    <w:rsid w:val="00896BA0"/>
    <w:rsid w:val="00896E0B"/>
    <w:rsid w:val="00897A46"/>
    <w:rsid w:val="008A0DFA"/>
    <w:rsid w:val="008A4145"/>
    <w:rsid w:val="008A5D6F"/>
    <w:rsid w:val="008A7EEC"/>
    <w:rsid w:val="008B181A"/>
    <w:rsid w:val="008C674E"/>
    <w:rsid w:val="008C6998"/>
    <w:rsid w:val="008D52B9"/>
    <w:rsid w:val="008D5FA0"/>
    <w:rsid w:val="008E0CC1"/>
    <w:rsid w:val="008E1FC9"/>
    <w:rsid w:val="008F2477"/>
    <w:rsid w:val="008F2552"/>
    <w:rsid w:val="008F2F2F"/>
    <w:rsid w:val="008F32A8"/>
    <w:rsid w:val="00904070"/>
    <w:rsid w:val="00904992"/>
    <w:rsid w:val="00912C8A"/>
    <w:rsid w:val="009175E2"/>
    <w:rsid w:val="009208CB"/>
    <w:rsid w:val="0092267B"/>
    <w:rsid w:val="0092379E"/>
    <w:rsid w:val="00923DAA"/>
    <w:rsid w:val="00923F8C"/>
    <w:rsid w:val="0092414B"/>
    <w:rsid w:val="009345E9"/>
    <w:rsid w:val="00935C54"/>
    <w:rsid w:val="00937849"/>
    <w:rsid w:val="009423D8"/>
    <w:rsid w:val="00950DAA"/>
    <w:rsid w:val="00950F9E"/>
    <w:rsid w:val="00955667"/>
    <w:rsid w:val="0096139C"/>
    <w:rsid w:val="00991101"/>
    <w:rsid w:val="00997D79"/>
    <w:rsid w:val="009A12F7"/>
    <w:rsid w:val="009B33BA"/>
    <w:rsid w:val="009B4192"/>
    <w:rsid w:val="009B69D2"/>
    <w:rsid w:val="009B6D5E"/>
    <w:rsid w:val="009C0688"/>
    <w:rsid w:val="009C0BA4"/>
    <w:rsid w:val="009C1E50"/>
    <w:rsid w:val="009C53D8"/>
    <w:rsid w:val="009D1DE1"/>
    <w:rsid w:val="009E2BEA"/>
    <w:rsid w:val="009E3908"/>
    <w:rsid w:val="009F265A"/>
    <w:rsid w:val="00A16910"/>
    <w:rsid w:val="00A16D01"/>
    <w:rsid w:val="00A32CAD"/>
    <w:rsid w:val="00A5210A"/>
    <w:rsid w:val="00A559C6"/>
    <w:rsid w:val="00A73B6D"/>
    <w:rsid w:val="00A80CC0"/>
    <w:rsid w:val="00A80F0A"/>
    <w:rsid w:val="00A81B33"/>
    <w:rsid w:val="00A84DE8"/>
    <w:rsid w:val="00A94D6A"/>
    <w:rsid w:val="00A96A13"/>
    <w:rsid w:val="00A9771F"/>
    <w:rsid w:val="00AA06F6"/>
    <w:rsid w:val="00AB18B1"/>
    <w:rsid w:val="00AB46B9"/>
    <w:rsid w:val="00AB4BF8"/>
    <w:rsid w:val="00AB55DD"/>
    <w:rsid w:val="00AC6126"/>
    <w:rsid w:val="00AC7325"/>
    <w:rsid w:val="00AE13C1"/>
    <w:rsid w:val="00AF5325"/>
    <w:rsid w:val="00B03CB8"/>
    <w:rsid w:val="00B1751E"/>
    <w:rsid w:val="00B207E1"/>
    <w:rsid w:val="00B35F90"/>
    <w:rsid w:val="00B45EE2"/>
    <w:rsid w:val="00B47B88"/>
    <w:rsid w:val="00B5215E"/>
    <w:rsid w:val="00B538D1"/>
    <w:rsid w:val="00B575CC"/>
    <w:rsid w:val="00B619F3"/>
    <w:rsid w:val="00B755E6"/>
    <w:rsid w:val="00B76D2B"/>
    <w:rsid w:val="00B84712"/>
    <w:rsid w:val="00B912BD"/>
    <w:rsid w:val="00B91F35"/>
    <w:rsid w:val="00B92293"/>
    <w:rsid w:val="00B968B5"/>
    <w:rsid w:val="00BA3987"/>
    <w:rsid w:val="00BA41F1"/>
    <w:rsid w:val="00BB297B"/>
    <w:rsid w:val="00BB39AB"/>
    <w:rsid w:val="00BB6A0C"/>
    <w:rsid w:val="00BC1132"/>
    <w:rsid w:val="00BC25B2"/>
    <w:rsid w:val="00BC36E5"/>
    <w:rsid w:val="00BF0A11"/>
    <w:rsid w:val="00BF0C08"/>
    <w:rsid w:val="00BF423C"/>
    <w:rsid w:val="00C00193"/>
    <w:rsid w:val="00C00C5A"/>
    <w:rsid w:val="00C0342D"/>
    <w:rsid w:val="00C1163F"/>
    <w:rsid w:val="00C11AAD"/>
    <w:rsid w:val="00C161FC"/>
    <w:rsid w:val="00C22AFA"/>
    <w:rsid w:val="00C2432D"/>
    <w:rsid w:val="00C30FEC"/>
    <w:rsid w:val="00C34441"/>
    <w:rsid w:val="00C44CB9"/>
    <w:rsid w:val="00C4775E"/>
    <w:rsid w:val="00C5047B"/>
    <w:rsid w:val="00C506D0"/>
    <w:rsid w:val="00C54AA4"/>
    <w:rsid w:val="00C54DE0"/>
    <w:rsid w:val="00C602EA"/>
    <w:rsid w:val="00C607AA"/>
    <w:rsid w:val="00C64311"/>
    <w:rsid w:val="00C64457"/>
    <w:rsid w:val="00C73795"/>
    <w:rsid w:val="00C77090"/>
    <w:rsid w:val="00C90360"/>
    <w:rsid w:val="00C9183B"/>
    <w:rsid w:val="00C929A5"/>
    <w:rsid w:val="00CB6A3E"/>
    <w:rsid w:val="00CB6CD4"/>
    <w:rsid w:val="00CB7333"/>
    <w:rsid w:val="00CD20CA"/>
    <w:rsid w:val="00CD2127"/>
    <w:rsid w:val="00CF0E03"/>
    <w:rsid w:val="00CF1C86"/>
    <w:rsid w:val="00D04283"/>
    <w:rsid w:val="00D13E57"/>
    <w:rsid w:val="00D21C1C"/>
    <w:rsid w:val="00D25178"/>
    <w:rsid w:val="00D27D09"/>
    <w:rsid w:val="00D36257"/>
    <w:rsid w:val="00D4480F"/>
    <w:rsid w:val="00D45BD5"/>
    <w:rsid w:val="00D46F70"/>
    <w:rsid w:val="00D510DB"/>
    <w:rsid w:val="00D51D98"/>
    <w:rsid w:val="00D52A32"/>
    <w:rsid w:val="00D537B4"/>
    <w:rsid w:val="00D87172"/>
    <w:rsid w:val="00D906EF"/>
    <w:rsid w:val="00D93C48"/>
    <w:rsid w:val="00D947BC"/>
    <w:rsid w:val="00DA6A3B"/>
    <w:rsid w:val="00DB1779"/>
    <w:rsid w:val="00DC24D6"/>
    <w:rsid w:val="00DC3809"/>
    <w:rsid w:val="00DD05AA"/>
    <w:rsid w:val="00DD2D2C"/>
    <w:rsid w:val="00DE7E3B"/>
    <w:rsid w:val="00DF5336"/>
    <w:rsid w:val="00DF7E2A"/>
    <w:rsid w:val="00E06D26"/>
    <w:rsid w:val="00E209DF"/>
    <w:rsid w:val="00E40F13"/>
    <w:rsid w:val="00E443A4"/>
    <w:rsid w:val="00E62E39"/>
    <w:rsid w:val="00E6345C"/>
    <w:rsid w:val="00E66CF6"/>
    <w:rsid w:val="00E7285D"/>
    <w:rsid w:val="00E7301E"/>
    <w:rsid w:val="00E77637"/>
    <w:rsid w:val="00E80581"/>
    <w:rsid w:val="00E90023"/>
    <w:rsid w:val="00EA2278"/>
    <w:rsid w:val="00EB4967"/>
    <w:rsid w:val="00EB54F1"/>
    <w:rsid w:val="00EB7835"/>
    <w:rsid w:val="00EB78F4"/>
    <w:rsid w:val="00EC37CB"/>
    <w:rsid w:val="00EC6B30"/>
    <w:rsid w:val="00ED3FD2"/>
    <w:rsid w:val="00ED6ADC"/>
    <w:rsid w:val="00ED7B52"/>
    <w:rsid w:val="00EE3C3B"/>
    <w:rsid w:val="00EE401D"/>
    <w:rsid w:val="00EE43D3"/>
    <w:rsid w:val="00EF26D8"/>
    <w:rsid w:val="00EF6A64"/>
    <w:rsid w:val="00F107EB"/>
    <w:rsid w:val="00F11B41"/>
    <w:rsid w:val="00F3540A"/>
    <w:rsid w:val="00F40567"/>
    <w:rsid w:val="00F45C25"/>
    <w:rsid w:val="00F51C59"/>
    <w:rsid w:val="00F526B6"/>
    <w:rsid w:val="00F52E07"/>
    <w:rsid w:val="00F54E6E"/>
    <w:rsid w:val="00F5604E"/>
    <w:rsid w:val="00F67B4A"/>
    <w:rsid w:val="00F70294"/>
    <w:rsid w:val="00F70D7C"/>
    <w:rsid w:val="00F7452F"/>
    <w:rsid w:val="00F75728"/>
    <w:rsid w:val="00F75AE0"/>
    <w:rsid w:val="00F81E58"/>
    <w:rsid w:val="00F848C1"/>
    <w:rsid w:val="00F84C65"/>
    <w:rsid w:val="00F900FD"/>
    <w:rsid w:val="00F925F7"/>
    <w:rsid w:val="00FA1A2A"/>
    <w:rsid w:val="00FA2499"/>
    <w:rsid w:val="00FA5047"/>
    <w:rsid w:val="00FB1FCB"/>
    <w:rsid w:val="00FB2F8C"/>
    <w:rsid w:val="00FB7DB6"/>
    <w:rsid w:val="00FC4AD1"/>
    <w:rsid w:val="00FC5758"/>
    <w:rsid w:val="00FC7B4B"/>
    <w:rsid w:val="00FE2EA2"/>
    <w:rsid w:val="00FE3546"/>
    <w:rsid w:val="00FE3C71"/>
    <w:rsid w:val="00FF2F8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2028FF"/>
  <w15:docId w15:val="{AC2DD823-FE07-4C72-B889-AAFC14F5D7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styleId="NichtaufgelsteErwhnung">
    <w:name w:val="Unresolved Mention"/>
    <w:basedOn w:val="Absatz-Standardschriftart"/>
    <w:uiPriority w:val="99"/>
    <w:semiHidden/>
    <w:unhideWhenUsed/>
    <w:rsid w:val="00923F8C"/>
    <w:rPr>
      <w:color w:val="605E5C"/>
      <w:shd w:val="clear" w:color="auto" w:fill="E1DFDD"/>
    </w:rPr>
  </w:style>
  <w:style w:type="character" w:styleId="BesuchterLink">
    <w:name w:val="FollowedHyperlink"/>
    <w:basedOn w:val="Absatz-Standardschriftart"/>
    <w:uiPriority w:val="99"/>
    <w:semiHidden/>
    <w:unhideWhenUsed/>
    <w:rsid w:val="00D3625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mailto:www.wilkhahn.de" TargetMode="External"/><Relationship Id="rId2" Type="http://schemas.openxmlformats.org/officeDocument/2006/relationships/settings" Target="settings.xml"/><Relationship Id="rId16" Type="http://schemas.openxmlformats.org/officeDocument/2006/relationships/hyperlink" Target="mailto:burkhard.remmers@wilkhahn.de" TargetMode="External"/><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www.wilkhahn.com/fr/office-on-stage/" TargetMode="External"/><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hyperlink" Target="mailto:wilkhahn@maipr.com" TargetMode="External"/><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1237</Words>
  <Characters>7798</Characters>
  <Application>Microsoft Office Word</Application>
  <DocSecurity>0</DocSecurity>
  <Lines>64</Lines>
  <Paragraphs>18</Paragraphs>
  <ScaleCrop>false</ScaleCrop>
  <HeadingPairs>
    <vt:vector size="2" baseType="variant">
      <vt:variant>
        <vt:lpstr>Titel</vt:lpstr>
      </vt:variant>
      <vt:variant>
        <vt:i4>1</vt:i4>
      </vt:variant>
    </vt:vector>
  </HeadingPairs>
  <TitlesOfParts>
    <vt:vector size="1" baseType="lpstr">
      <vt:lpstr/>
    </vt:vector>
  </TitlesOfParts>
  <Company>Wilkhahn</Company>
  <LinksUpToDate>false</LinksUpToDate>
  <CharactersWithSpaces>9017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Remmers, Burkhard</dc:creator>
  <cp:lastModifiedBy>Dustin Sdrenka</cp:lastModifiedBy>
  <cp:revision>6</cp:revision>
  <cp:lastPrinted>2025-06-16T09:56:00Z</cp:lastPrinted>
  <dcterms:created xsi:type="dcterms:W3CDTF">2025-06-16T09:56:00Z</dcterms:created>
  <dcterms:modified xsi:type="dcterms:W3CDTF">2025-06-16T12:18:00Z</dcterms:modified>
</cp:coreProperties>
</file>